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BCE1A" w14:textId="77777777" w:rsidR="00D0690A" w:rsidRPr="00F46E08" w:rsidRDefault="00D0690A" w:rsidP="00E72E98">
      <w:pPr>
        <w:jc w:val="both"/>
        <w:rPr>
          <w:rFonts w:asciiTheme="majorHAnsi" w:hAnsiTheme="majorHAnsi"/>
          <w:sz w:val="30"/>
          <w:szCs w:val="30"/>
        </w:rPr>
      </w:pPr>
    </w:p>
    <w:p w14:paraId="3EA18D51" w14:textId="77777777" w:rsidR="00F46E08" w:rsidRPr="001F3F3D" w:rsidRDefault="00F46E08" w:rsidP="00F46E08">
      <w:pPr>
        <w:jc w:val="center"/>
        <w:rPr>
          <w:rFonts w:asciiTheme="majorHAnsi" w:hAnsiTheme="majorHAnsi"/>
          <w:b/>
          <w:color w:val="FF0000"/>
          <w:sz w:val="30"/>
          <w:szCs w:val="30"/>
        </w:rPr>
      </w:pPr>
      <w:r w:rsidRPr="001F3F3D">
        <w:rPr>
          <w:rFonts w:asciiTheme="majorHAnsi" w:hAnsiTheme="majorHAnsi"/>
          <w:b/>
          <w:color w:val="FF0000"/>
          <w:sz w:val="30"/>
          <w:szCs w:val="30"/>
        </w:rPr>
        <w:t xml:space="preserve">NOTA AGGIORNATA SU “REDDITO DI CITTADINANZA” E QUOTA 100 </w:t>
      </w:r>
    </w:p>
    <w:p w14:paraId="71B132AE" w14:textId="4F758BAF" w:rsidR="00F46E08" w:rsidRPr="00F46E08" w:rsidRDefault="00F46E08" w:rsidP="00F46E08">
      <w:pPr>
        <w:jc w:val="center"/>
        <w:rPr>
          <w:rFonts w:asciiTheme="majorHAnsi" w:hAnsiTheme="majorHAnsi"/>
          <w:sz w:val="22"/>
          <w:szCs w:val="22"/>
        </w:rPr>
      </w:pPr>
      <w:r w:rsidRPr="00F46E08">
        <w:rPr>
          <w:rFonts w:asciiTheme="majorHAnsi" w:hAnsiTheme="majorHAnsi"/>
          <w:sz w:val="22"/>
          <w:szCs w:val="22"/>
        </w:rPr>
        <w:t>(DECRETO LEGGE 28 GENNAIO 2019, N.4)</w:t>
      </w:r>
    </w:p>
    <w:p w14:paraId="50A1B673" w14:textId="77777777" w:rsidR="00F46E08" w:rsidRDefault="00F46E08" w:rsidP="00E72E98">
      <w:pPr>
        <w:jc w:val="both"/>
        <w:rPr>
          <w:rFonts w:asciiTheme="majorHAnsi" w:hAnsiTheme="majorHAnsi"/>
        </w:rPr>
      </w:pPr>
    </w:p>
    <w:p w14:paraId="23E48B5F" w14:textId="63E09C7B" w:rsidR="00F46E08" w:rsidRDefault="00D24F61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28 gennaio è stato finalmente pubblicato sulla Gazzetta Ufficiale il decreto legge </w:t>
      </w:r>
      <w:r w:rsidR="001C54A1">
        <w:rPr>
          <w:rFonts w:asciiTheme="majorHAnsi" w:hAnsiTheme="majorHAnsi"/>
        </w:rPr>
        <w:t xml:space="preserve">che disciplina </w:t>
      </w:r>
      <w:r w:rsidR="002B4078" w:rsidRPr="00E72E98">
        <w:rPr>
          <w:rFonts w:asciiTheme="majorHAnsi" w:hAnsiTheme="majorHAnsi"/>
        </w:rPr>
        <w:t>il cosiddetto “reddi</w:t>
      </w:r>
      <w:r>
        <w:rPr>
          <w:rFonts w:asciiTheme="majorHAnsi" w:hAnsiTheme="majorHAnsi"/>
        </w:rPr>
        <w:t xml:space="preserve">to di cittadinanza” e Quota 100. </w:t>
      </w:r>
      <w:r w:rsidR="002B4078" w:rsidRPr="00E72E98">
        <w:rPr>
          <w:rFonts w:asciiTheme="majorHAnsi" w:hAnsiTheme="majorHAnsi"/>
        </w:rPr>
        <w:t xml:space="preserve"> </w:t>
      </w:r>
      <w:r w:rsidR="005C4A2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 tes</w:t>
      </w:r>
      <w:r w:rsidR="00D0690A">
        <w:rPr>
          <w:rFonts w:asciiTheme="majorHAnsi" w:hAnsiTheme="majorHAnsi"/>
        </w:rPr>
        <w:t>to è dunque que</w:t>
      </w:r>
      <w:r w:rsidR="00E953A3">
        <w:rPr>
          <w:rFonts w:asciiTheme="majorHAnsi" w:hAnsiTheme="majorHAnsi"/>
        </w:rPr>
        <w:t xml:space="preserve">llo effettivamente definitivo, diverso in alcune parti </w:t>
      </w:r>
      <w:r w:rsidR="007779AB">
        <w:rPr>
          <w:rFonts w:asciiTheme="majorHAnsi" w:hAnsiTheme="majorHAnsi"/>
        </w:rPr>
        <w:t>anche rispetto alla</w:t>
      </w:r>
      <w:r w:rsidR="00D0690A">
        <w:rPr>
          <w:rFonts w:asciiTheme="majorHAnsi" w:hAnsiTheme="majorHAnsi"/>
        </w:rPr>
        <w:t xml:space="preserve"> versione approva</w:t>
      </w:r>
      <w:r w:rsidR="007779AB">
        <w:rPr>
          <w:rFonts w:asciiTheme="majorHAnsi" w:hAnsiTheme="majorHAnsi"/>
        </w:rPr>
        <w:t>ta dal Consiglio dei Ministri (per come era stata pubblicata dalla stampa).</w:t>
      </w:r>
      <w:r w:rsidR="00F46E08">
        <w:rPr>
          <w:rFonts w:asciiTheme="majorHAnsi" w:hAnsiTheme="majorHAnsi"/>
        </w:rPr>
        <w:t xml:space="preserve"> </w:t>
      </w:r>
    </w:p>
    <w:p w14:paraId="55FCD6DD" w14:textId="5BD2A06B" w:rsidR="00D0690A" w:rsidRDefault="00F46E08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Ovviamente c</w:t>
      </w:r>
      <w:r w:rsidR="00D0690A">
        <w:rPr>
          <w:rFonts w:asciiTheme="majorHAnsi" w:hAnsiTheme="majorHAnsi"/>
        </w:rPr>
        <w:t>ome tutti i</w:t>
      </w:r>
      <w:r w:rsidR="001C54A1">
        <w:rPr>
          <w:rFonts w:asciiTheme="majorHAnsi" w:hAnsiTheme="majorHAnsi"/>
        </w:rPr>
        <w:t xml:space="preserve"> decreti</w:t>
      </w:r>
      <w:r w:rsidR="00D0690A">
        <w:rPr>
          <w:rFonts w:asciiTheme="majorHAnsi" w:hAnsiTheme="majorHAnsi"/>
        </w:rPr>
        <w:t xml:space="preserve"> ha effetti immediati, ma deve essere convertito in legge entro 60 giorni, e nella conversione sono possibili modifiche da parte del Parlamento. </w:t>
      </w:r>
    </w:p>
    <w:p w14:paraId="230E9F3F" w14:textId="77777777" w:rsidR="00D454B1" w:rsidRDefault="00D454B1" w:rsidP="00D454B1">
      <w:pPr>
        <w:jc w:val="both"/>
        <w:rPr>
          <w:rFonts w:asciiTheme="majorHAnsi" w:hAnsiTheme="majorHAnsi"/>
        </w:rPr>
      </w:pPr>
    </w:p>
    <w:p w14:paraId="6AB0F790" w14:textId="3F4F6C59" w:rsidR="00D454B1" w:rsidRDefault="006F5380" w:rsidP="00D47F8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Prima di entrare nelle considerazioni specifiche relative alle due misure, va premessa una considerazione generale, dirimente per tutta la manovra di bilancio, e che ha una particolare importanza per il “reddito” e “quota 100”</w:t>
      </w:r>
      <w:r w:rsidR="001C54A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che della manovra sono la parte quantitativamente più rilevante in termini di risorse. </w:t>
      </w:r>
    </w:p>
    <w:p w14:paraId="13463557" w14:textId="70FF3325" w:rsidR="00486029" w:rsidRDefault="006F5380" w:rsidP="00D47F8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Come abbiamo sottolineato fin dall’inizio, </w:t>
      </w:r>
      <w:r w:rsidR="001C54A1">
        <w:rPr>
          <w:rFonts w:asciiTheme="majorHAnsi" w:hAnsiTheme="majorHAnsi"/>
        </w:rPr>
        <w:t xml:space="preserve">la manovra finale fissa </w:t>
      </w:r>
      <w:r w:rsidR="00D454B1">
        <w:rPr>
          <w:rFonts w:asciiTheme="majorHAnsi" w:hAnsiTheme="majorHAnsi"/>
        </w:rPr>
        <w:t>clausole di salvaguardia pari a 23 miliardi per il 2020 e 29 miliardi per il 2021. La necessità di reperire quelle risorse</w:t>
      </w:r>
      <w:r w:rsidR="00D47F86">
        <w:rPr>
          <w:rFonts w:asciiTheme="majorHAnsi" w:hAnsiTheme="majorHAnsi"/>
        </w:rPr>
        <w:t>,</w:t>
      </w:r>
      <w:r w:rsidR="00D454B1">
        <w:rPr>
          <w:rFonts w:asciiTheme="majorHAnsi" w:hAnsiTheme="majorHAnsi"/>
        </w:rPr>
        <w:t xml:space="preserve"> ingentissime, per disinnescare gli aumenti dell’IVA che altrimenti scatterebbero, fa sì che oltre a </w:t>
      </w:r>
      <w:r w:rsidR="00D47F86">
        <w:rPr>
          <w:rFonts w:asciiTheme="majorHAnsi" w:hAnsiTheme="majorHAnsi"/>
        </w:rPr>
        <w:t xml:space="preserve">una serie di </w:t>
      </w:r>
      <w:r w:rsidR="00D454B1">
        <w:rPr>
          <w:rFonts w:asciiTheme="majorHAnsi" w:hAnsiTheme="majorHAnsi"/>
        </w:rPr>
        <w:t>prevedibili (e previsti) ta</w:t>
      </w:r>
      <w:r w:rsidR="00D47F86">
        <w:rPr>
          <w:rFonts w:asciiTheme="majorHAnsi" w:hAnsiTheme="majorHAnsi"/>
        </w:rPr>
        <w:t xml:space="preserve">gli futuri, </w:t>
      </w:r>
      <w:r w:rsidR="00D454B1" w:rsidRPr="003E07A3">
        <w:rPr>
          <w:rFonts w:asciiTheme="majorHAnsi" w:hAnsiTheme="majorHAnsi"/>
        </w:rPr>
        <w:t>ogni intervento</w:t>
      </w:r>
      <w:r w:rsidR="00D47F86">
        <w:rPr>
          <w:rFonts w:asciiTheme="majorHAnsi" w:hAnsiTheme="majorHAnsi"/>
        </w:rPr>
        <w:t xml:space="preserve">, compresi quelli su pensioni e reddito, sia sottoposto </w:t>
      </w:r>
      <w:r w:rsidR="00D454B1" w:rsidRPr="003E07A3">
        <w:rPr>
          <w:rFonts w:asciiTheme="majorHAnsi" w:hAnsiTheme="majorHAnsi"/>
        </w:rPr>
        <w:t xml:space="preserve"> alla possibilità molto concreta di essere</w:t>
      </w:r>
      <w:r w:rsidR="00D47F86">
        <w:rPr>
          <w:rFonts w:asciiTheme="majorHAnsi" w:hAnsiTheme="majorHAnsi"/>
        </w:rPr>
        <w:t xml:space="preserve"> rimaneggiato </w:t>
      </w:r>
      <w:r w:rsidR="00486029">
        <w:rPr>
          <w:rFonts w:asciiTheme="majorHAnsi" w:hAnsiTheme="majorHAnsi"/>
        </w:rPr>
        <w:t xml:space="preserve">e rimesso in discussione, </w:t>
      </w:r>
      <w:r w:rsidR="00D47F86">
        <w:rPr>
          <w:rFonts w:asciiTheme="majorHAnsi" w:hAnsiTheme="majorHAnsi"/>
        </w:rPr>
        <w:t xml:space="preserve">dopo le elezioni. </w:t>
      </w:r>
      <w:r w:rsidR="00486029">
        <w:rPr>
          <w:rFonts w:asciiTheme="majorHAnsi" w:hAnsiTheme="majorHAnsi"/>
        </w:rPr>
        <w:t>La manovra è una manovra elettorale.</w:t>
      </w:r>
    </w:p>
    <w:p w14:paraId="3C6F8BAC" w14:textId="555D985A" w:rsidR="006F5380" w:rsidRDefault="00486029" w:rsidP="00D47F8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D47F86">
        <w:rPr>
          <w:rFonts w:asciiTheme="majorHAnsi" w:hAnsiTheme="majorHAnsi"/>
        </w:rPr>
        <w:t>anto più</w:t>
      </w:r>
      <w:r>
        <w:rPr>
          <w:rFonts w:asciiTheme="majorHAnsi" w:hAnsiTheme="majorHAnsi"/>
        </w:rPr>
        <w:t>,</w:t>
      </w:r>
      <w:r w:rsidR="00D47F86">
        <w:rPr>
          <w:rFonts w:asciiTheme="majorHAnsi" w:hAnsiTheme="majorHAnsi"/>
        </w:rPr>
        <w:t xml:space="preserve"> perché sul terreno fiscale</w:t>
      </w:r>
      <w:r>
        <w:rPr>
          <w:rFonts w:asciiTheme="majorHAnsi" w:hAnsiTheme="majorHAnsi"/>
        </w:rPr>
        <w:t>,</w:t>
      </w:r>
      <w:r w:rsidR="00D47F86">
        <w:rPr>
          <w:rFonts w:asciiTheme="majorHAnsi" w:hAnsiTheme="majorHAnsi"/>
        </w:rPr>
        <w:t xml:space="preserve"> il governo in continuità con quelli precedenti, persegue con la pratica di condoni e sconti alle imprese, e fa la Flat-Tax per il lavoro autonomo. L’opposto di quanto sarebbe possibile e necessario mettere in campo, contrastando la grande evasione, </w:t>
      </w:r>
      <w:r w:rsidR="001C54A1">
        <w:rPr>
          <w:rFonts w:asciiTheme="majorHAnsi" w:hAnsiTheme="majorHAnsi"/>
        </w:rPr>
        <w:t>ripristinando una reale</w:t>
      </w:r>
      <w:r w:rsidR="00D47F86">
        <w:rPr>
          <w:rFonts w:asciiTheme="majorHAnsi" w:hAnsiTheme="majorHAnsi"/>
        </w:rPr>
        <w:t xml:space="preserve"> progressività del</w:t>
      </w:r>
      <w:r w:rsidR="001C54A1">
        <w:rPr>
          <w:rFonts w:asciiTheme="majorHAnsi" w:hAnsiTheme="majorHAnsi"/>
        </w:rPr>
        <w:t>le imposte</w:t>
      </w:r>
      <w:r w:rsidR="00D47F86">
        <w:rPr>
          <w:rFonts w:asciiTheme="majorHAnsi" w:hAnsiTheme="majorHAnsi"/>
        </w:rPr>
        <w:t xml:space="preserve">, istituendo </w:t>
      </w:r>
      <w:r>
        <w:rPr>
          <w:rFonts w:asciiTheme="majorHAnsi" w:hAnsiTheme="majorHAnsi"/>
        </w:rPr>
        <w:t>una</w:t>
      </w:r>
      <w:r w:rsidR="00D47F86">
        <w:rPr>
          <w:rFonts w:asciiTheme="majorHAnsi" w:hAnsiTheme="majorHAnsi"/>
        </w:rPr>
        <w:t xml:space="preserve"> patrimoniale sulle grandi ricchezze. </w:t>
      </w:r>
    </w:p>
    <w:p w14:paraId="49B55FFE" w14:textId="77777777" w:rsidR="00486029" w:rsidRPr="00070101" w:rsidRDefault="00486029" w:rsidP="00E72E98">
      <w:pPr>
        <w:jc w:val="both"/>
        <w:rPr>
          <w:rFonts w:asciiTheme="majorHAnsi" w:hAnsiTheme="majorHAnsi"/>
          <w:b/>
          <w:sz w:val="16"/>
          <w:szCs w:val="16"/>
        </w:rPr>
      </w:pPr>
    </w:p>
    <w:p w14:paraId="7FF16E73" w14:textId="77777777" w:rsidR="00486029" w:rsidRDefault="00486029" w:rsidP="00E72E98">
      <w:pPr>
        <w:jc w:val="both"/>
        <w:rPr>
          <w:rFonts w:asciiTheme="majorHAnsi" w:hAnsiTheme="majorHAnsi"/>
          <w:b/>
        </w:rPr>
      </w:pPr>
    </w:p>
    <w:p w14:paraId="6C273C3E" w14:textId="0D877345" w:rsidR="00486029" w:rsidRPr="001F3F3D" w:rsidRDefault="00486029" w:rsidP="00486029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1F3F3D">
        <w:rPr>
          <w:rFonts w:asciiTheme="majorHAnsi" w:hAnsiTheme="majorHAnsi"/>
          <w:b/>
          <w:color w:val="FF0000"/>
          <w:sz w:val="28"/>
          <w:szCs w:val="28"/>
        </w:rPr>
        <w:t>IL “REDDITO DI CITTADINANZA” O LA SOCIETA’ DELLA COAZIONE</w:t>
      </w:r>
    </w:p>
    <w:p w14:paraId="49461AAE" w14:textId="77777777" w:rsidR="00486029" w:rsidRDefault="00486029" w:rsidP="00486029">
      <w:pPr>
        <w:jc w:val="center"/>
        <w:rPr>
          <w:rFonts w:asciiTheme="majorHAnsi" w:hAnsiTheme="majorHAnsi"/>
          <w:b/>
        </w:rPr>
      </w:pPr>
    </w:p>
    <w:p w14:paraId="2885653F" w14:textId="43174CD5" w:rsidR="005E0D84" w:rsidRDefault="005E5C98" w:rsidP="00E72E9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LA POVERTA’ IN ITALIA E </w:t>
      </w:r>
      <w:r w:rsidR="005E0D84">
        <w:rPr>
          <w:rFonts w:asciiTheme="majorHAnsi" w:hAnsiTheme="majorHAnsi"/>
          <w:b/>
        </w:rPr>
        <w:t>Il VINCOLO DELLE RISORSE</w:t>
      </w:r>
    </w:p>
    <w:p w14:paraId="6A445F39" w14:textId="56D0B64C" w:rsidR="007779AB" w:rsidRDefault="005E5C98" w:rsidP="007779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Secondo l’Istat nel 2017 in Italia c’erano </w:t>
      </w:r>
      <w:r w:rsidR="007779AB" w:rsidRPr="007779AB">
        <w:rPr>
          <w:rFonts w:asciiTheme="majorHAnsi" w:hAnsiTheme="majorHAnsi" w:cs="Arial"/>
        </w:rPr>
        <w:t>1 milione e 778mila famiglie residenti</w:t>
      </w:r>
      <w:r w:rsidR="007779AB">
        <w:rPr>
          <w:rFonts w:asciiTheme="majorHAnsi" w:hAnsiTheme="majorHAnsi" w:cs="Arial"/>
        </w:rPr>
        <w:t xml:space="preserve"> in condizioni di povertà assoluta, corrispondenti a 5 milioni e 58mila persone. Le famiglie in condizione di povertà relativa erano invece </w:t>
      </w:r>
      <w:r w:rsidR="007779AB" w:rsidRPr="007779AB">
        <w:rPr>
          <w:rFonts w:asciiTheme="majorHAnsi" w:hAnsiTheme="majorHAnsi" w:cs="Arial"/>
        </w:rPr>
        <w:t xml:space="preserve">3 milioni 171mila </w:t>
      </w:r>
      <w:r w:rsidR="007779AB">
        <w:rPr>
          <w:rFonts w:asciiTheme="majorHAnsi" w:hAnsiTheme="majorHAnsi" w:cs="Arial"/>
        </w:rPr>
        <w:t xml:space="preserve">pari a </w:t>
      </w:r>
      <w:r w:rsidR="007779AB" w:rsidRPr="007779AB">
        <w:rPr>
          <w:rFonts w:asciiTheme="majorHAnsi" w:hAnsiTheme="majorHAnsi" w:cs="Arial"/>
        </w:rPr>
        <w:t xml:space="preserve">9 milioni 368mila </w:t>
      </w:r>
      <w:r w:rsidR="007779AB">
        <w:rPr>
          <w:rFonts w:asciiTheme="majorHAnsi" w:hAnsiTheme="majorHAnsi" w:cs="Arial"/>
        </w:rPr>
        <w:t xml:space="preserve">persone. </w:t>
      </w:r>
    </w:p>
    <w:p w14:paraId="4A042674" w14:textId="45AB971D" w:rsidR="007779AB" w:rsidRDefault="007779AB" w:rsidP="007779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Per quanto il Ministro Di Maio affermi che il reddito si rivolge a 5 milioni di persone, </w:t>
      </w:r>
      <w:r w:rsidRPr="00D1566B">
        <w:rPr>
          <w:rFonts w:asciiTheme="majorHAnsi" w:hAnsiTheme="majorHAnsi" w:cs="Arial"/>
          <w:b/>
        </w:rPr>
        <w:t>le stime dell’Istat indicano una platea assai più limitat</w:t>
      </w:r>
      <w:r w:rsidR="006039D3">
        <w:rPr>
          <w:rFonts w:asciiTheme="majorHAnsi" w:hAnsiTheme="majorHAnsi" w:cs="Arial"/>
          <w:b/>
        </w:rPr>
        <w:t>a, 1 milione 308 mila famiglie, per</w:t>
      </w:r>
      <w:r w:rsidRPr="00D1566B">
        <w:rPr>
          <w:rFonts w:asciiTheme="majorHAnsi" w:hAnsiTheme="majorHAnsi" w:cs="Arial"/>
          <w:b/>
        </w:rPr>
        <w:t xml:space="preserve"> 2 milioni e 706 mila</w:t>
      </w:r>
      <w:r w:rsidR="006039D3">
        <w:rPr>
          <w:rFonts w:asciiTheme="majorHAnsi" w:hAnsiTheme="majorHAnsi" w:cs="Arial"/>
          <w:b/>
        </w:rPr>
        <w:t xml:space="preserve"> persone</w:t>
      </w:r>
      <w:r w:rsidRPr="00D1566B">
        <w:rPr>
          <w:rFonts w:asciiTheme="majorHAnsi" w:hAnsiTheme="majorHAnsi" w:cs="Arial"/>
          <w:b/>
        </w:rPr>
        <w:t>.</w:t>
      </w:r>
      <w:r>
        <w:rPr>
          <w:rFonts w:asciiTheme="majorHAnsi" w:hAnsiTheme="majorHAnsi" w:cs="Arial"/>
        </w:rPr>
        <w:t xml:space="preserve"> La misura quindi non solo non coprirebbe tutta l’area della povertà, assoluta e relativa, ma </w:t>
      </w:r>
      <w:r w:rsidR="006F5380">
        <w:rPr>
          <w:rFonts w:asciiTheme="majorHAnsi" w:hAnsiTheme="majorHAnsi" w:cs="Arial"/>
        </w:rPr>
        <w:t xml:space="preserve">risponderebbe a poco più della metà della stessa condizione di povertà assoluta. </w:t>
      </w:r>
    </w:p>
    <w:p w14:paraId="17D229F5" w14:textId="0234A603" w:rsidR="007779AB" w:rsidRDefault="006F5380" w:rsidP="007779A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Per quanto le risorse stanziate siano significativamente superiori a quelle del REI, va sottolineato come il “reddito di cittadinanza” venga erogato non in relazione al numero di coloro che rientrano nei requisiti di reddito e patrimonio e che abbiano ovviamente fatto domanda, ma fino al tetto delle risorse stanziate. Se le domande superano</w:t>
      </w:r>
      <w:r w:rsidR="00486029">
        <w:rPr>
          <w:rFonts w:asciiTheme="majorHAnsi" w:hAnsiTheme="majorHAnsi" w:cs="Arial"/>
        </w:rPr>
        <w:t xml:space="preserve"> le risorse, il sussidio viene </w:t>
      </w:r>
      <w:r>
        <w:rPr>
          <w:rFonts w:asciiTheme="majorHAnsi" w:hAnsiTheme="majorHAnsi" w:cs="Arial"/>
        </w:rPr>
        <w:t xml:space="preserve">rimodulato e ridotto. </w:t>
      </w:r>
    </w:p>
    <w:p w14:paraId="3B2FDC49" w14:textId="77777777" w:rsidR="00AA40F0" w:rsidRDefault="00AA40F0" w:rsidP="00E72E98">
      <w:pPr>
        <w:jc w:val="both"/>
        <w:rPr>
          <w:rFonts w:asciiTheme="majorHAnsi" w:hAnsiTheme="majorHAnsi"/>
          <w:b/>
        </w:rPr>
      </w:pPr>
    </w:p>
    <w:p w14:paraId="6E1015EA" w14:textId="77777777" w:rsidR="00A7580E" w:rsidRPr="005C4A21" w:rsidRDefault="00A7580E" w:rsidP="00E72E98">
      <w:pPr>
        <w:jc w:val="both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>10 ANNI DI RESIDENZA</w:t>
      </w:r>
    </w:p>
    <w:p w14:paraId="1A622A18" w14:textId="77777777" w:rsidR="00E41231" w:rsidRDefault="005C4A21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2B4078" w:rsidRPr="00E72E98">
        <w:rPr>
          <w:rFonts w:asciiTheme="majorHAnsi" w:hAnsiTheme="majorHAnsi"/>
        </w:rPr>
        <w:t xml:space="preserve">er garantire il più possibile che il provvedimento venga riservato agli </w:t>
      </w:r>
      <w:r w:rsidR="00952989" w:rsidRPr="00E72E98">
        <w:rPr>
          <w:rFonts w:asciiTheme="majorHAnsi" w:hAnsiTheme="majorHAnsi"/>
        </w:rPr>
        <w:t>“</w:t>
      </w:r>
      <w:r w:rsidR="002B4078" w:rsidRPr="00E72E98">
        <w:rPr>
          <w:rFonts w:asciiTheme="majorHAnsi" w:hAnsiTheme="majorHAnsi"/>
        </w:rPr>
        <w:t>italiani</w:t>
      </w:r>
      <w:r w:rsidR="00952989" w:rsidRPr="00E72E98">
        <w:rPr>
          <w:rFonts w:asciiTheme="majorHAnsi" w:hAnsiTheme="majorHAnsi"/>
        </w:rPr>
        <w:t>”</w:t>
      </w:r>
      <w:r w:rsidR="00671E5A" w:rsidRPr="00E72E98">
        <w:rPr>
          <w:rFonts w:asciiTheme="majorHAnsi" w:hAnsiTheme="majorHAnsi"/>
        </w:rPr>
        <w:t>,</w:t>
      </w:r>
      <w:r w:rsidR="002B4078" w:rsidRPr="00E72E98">
        <w:rPr>
          <w:rFonts w:asciiTheme="majorHAnsi" w:hAnsiTheme="majorHAnsi"/>
        </w:rPr>
        <w:t xml:space="preserve"> per cui come ha detto Di Maio “è stato concepito”, l’RdC sarà </w:t>
      </w:r>
      <w:r w:rsidR="002B4078" w:rsidRPr="00E72E98">
        <w:rPr>
          <w:rFonts w:asciiTheme="majorHAnsi" w:hAnsiTheme="majorHAnsi"/>
          <w:b/>
        </w:rPr>
        <w:t xml:space="preserve">fruibile solo da </w:t>
      </w:r>
      <w:r w:rsidR="005E7C7F">
        <w:rPr>
          <w:rFonts w:asciiTheme="majorHAnsi" w:hAnsiTheme="majorHAnsi"/>
          <w:b/>
        </w:rPr>
        <w:t xml:space="preserve">chi sia residente </w:t>
      </w:r>
      <w:r w:rsidR="00BB6F95" w:rsidRPr="00E72E98">
        <w:rPr>
          <w:rFonts w:asciiTheme="majorHAnsi" w:hAnsiTheme="majorHAnsi"/>
          <w:b/>
        </w:rPr>
        <w:t xml:space="preserve">nel paese </w:t>
      </w:r>
      <w:r w:rsidR="002B4078" w:rsidRPr="00E72E98">
        <w:rPr>
          <w:rFonts w:asciiTheme="majorHAnsi" w:hAnsiTheme="majorHAnsi"/>
          <w:b/>
        </w:rPr>
        <w:t>da almeno 10 anni</w:t>
      </w:r>
      <w:r w:rsidR="002B4078" w:rsidRPr="00E72E98">
        <w:rPr>
          <w:rFonts w:asciiTheme="majorHAnsi" w:hAnsiTheme="majorHAnsi"/>
        </w:rPr>
        <w:t>,</w:t>
      </w:r>
      <w:r w:rsidR="005E7C7F">
        <w:rPr>
          <w:rFonts w:asciiTheme="majorHAnsi" w:hAnsiTheme="majorHAnsi"/>
        </w:rPr>
        <w:t xml:space="preserve"> </w:t>
      </w:r>
      <w:r w:rsidR="005E7C7F" w:rsidRPr="00E41231">
        <w:rPr>
          <w:rFonts w:asciiTheme="majorHAnsi" w:hAnsiTheme="majorHAnsi"/>
        </w:rPr>
        <w:t>di cui gli ultimi due in modo continuativo</w:t>
      </w:r>
      <w:r w:rsidR="005E7C7F">
        <w:rPr>
          <w:rFonts w:asciiTheme="majorHAnsi" w:hAnsiTheme="majorHAnsi"/>
        </w:rPr>
        <w:t xml:space="preserve">. </w:t>
      </w:r>
      <w:r w:rsidR="002B4078" w:rsidRPr="00E72E98">
        <w:rPr>
          <w:rFonts w:asciiTheme="majorHAnsi" w:hAnsiTheme="majorHAnsi"/>
        </w:rPr>
        <w:t xml:space="preserve"> </w:t>
      </w:r>
    </w:p>
    <w:p w14:paraId="0F66FF14" w14:textId="61A1E2BB" w:rsidR="003578E4" w:rsidRPr="00E72E98" w:rsidRDefault="005E7C7F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</w:t>
      </w:r>
      <w:r w:rsidR="002B4078" w:rsidRPr="00E72E98">
        <w:rPr>
          <w:rFonts w:asciiTheme="majorHAnsi" w:hAnsiTheme="majorHAnsi"/>
        </w:rPr>
        <w:t>raddo</w:t>
      </w:r>
      <w:r>
        <w:rPr>
          <w:rFonts w:asciiTheme="majorHAnsi" w:hAnsiTheme="majorHAnsi"/>
        </w:rPr>
        <w:t>ppian</w:t>
      </w:r>
      <w:r w:rsidR="00EB45E8" w:rsidRPr="00E72E98">
        <w:rPr>
          <w:rFonts w:asciiTheme="majorHAnsi" w:hAnsiTheme="majorHAnsi"/>
        </w:rPr>
        <w:t xml:space="preserve">o </w:t>
      </w:r>
      <w:r>
        <w:rPr>
          <w:rFonts w:asciiTheme="majorHAnsi" w:hAnsiTheme="majorHAnsi"/>
        </w:rPr>
        <w:t xml:space="preserve"> in questo modo </w:t>
      </w:r>
      <w:r w:rsidR="00EB45E8" w:rsidRPr="00E72E98">
        <w:rPr>
          <w:rFonts w:asciiTheme="majorHAnsi" w:hAnsiTheme="majorHAnsi"/>
        </w:rPr>
        <w:t xml:space="preserve">i 5 </w:t>
      </w:r>
      <w:r w:rsidR="005C4A21">
        <w:rPr>
          <w:rFonts w:asciiTheme="majorHAnsi" w:hAnsiTheme="majorHAnsi"/>
        </w:rPr>
        <w:t xml:space="preserve">anni </w:t>
      </w:r>
      <w:r w:rsidR="00BB6F95" w:rsidRPr="00E72E98">
        <w:rPr>
          <w:rFonts w:asciiTheme="majorHAnsi" w:hAnsiTheme="majorHAnsi"/>
        </w:rPr>
        <w:t xml:space="preserve">previsti </w:t>
      </w:r>
      <w:r w:rsidR="002B4078" w:rsidRPr="00E72E98">
        <w:rPr>
          <w:rFonts w:asciiTheme="majorHAnsi" w:hAnsiTheme="majorHAnsi"/>
        </w:rPr>
        <w:t xml:space="preserve">per l’ottenimento del permesso </w:t>
      </w:r>
      <w:r w:rsidR="00671E5A" w:rsidRPr="00E72E98">
        <w:rPr>
          <w:rFonts w:asciiTheme="majorHAnsi" w:hAnsiTheme="majorHAnsi"/>
        </w:rPr>
        <w:t xml:space="preserve"> di soggiorno </w:t>
      </w:r>
      <w:r w:rsidR="00EA7142" w:rsidRPr="00E72E98">
        <w:rPr>
          <w:rFonts w:asciiTheme="majorHAnsi" w:hAnsiTheme="majorHAnsi"/>
        </w:rPr>
        <w:t>UE</w:t>
      </w:r>
      <w:r w:rsidR="002B4078" w:rsidRPr="00E72E98">
        <w:rPr>
          <w:rFonts w:asciiTheme="majorHAnsi" w:hAnsiTheme="majorHAnsi"/>
        </w:rPr>
        <w:t xml:space="preserve"> di lungo periodo. </w:t>
      </w:r>
      <w:r w:rsidR="003578E4" w:rsidRPr="00E72E98">
        <w:rPr>
          <w:rFonts w:asciiTheme="majorHAnsi" w:hAnsiTheme="majorHAnsi"/>
        </w:rPr>
        <w:t>Una previsione discriminatoria e soggetta ad essere impugnata da</w:t>
      </w:r>
      <w:r w:rsidR="00EA7142" w:rsidRPr="00E72E98">
        <w:rPr>
          <w:rFonts w:asciiTheme="majorHAnsi" w:hAnsiTheme="majorHAnsi"/>
        </w:rPr>
        <w:t>vanti alla Corte Costituzionale</w:t>
      </w:r>
      <w:r w:rsidR="003578E4" w:rsidRPr="00E72E98">
        <w:rPr>
          <w:rFonts w:asciiTheme="majorHAnsi" w:hAnsiTheme="majorHAnsi"/>
        </w:rPr>
        <w:t xml:space="preserve"> </w:t>
      </w:r>
      <w:r w:rsidR="00EA7142" w:rsidRPr="00E72E98">
        <w:rPr>
          <w:rFonts w:asciiTheme="majorHAnsi" w:hAnsiTheme="majorHAnsi"/>
        </w:rPr>
        <w:t xml:space="preserve">- che </w:t>
      </w:r>
      <w:r w:rsidR="00671E5A" w:rsidRPr="00E72E98">
        <w:rPr>
          <w:rFonts w:asciiTheme="majorHAnsi" w:hAnsiTheme="majorHAnsi"/>
        </w:rPr>
        <w:t xml:space="preserve">con una </w:t>
      </w:r>
      <w:r w:rsidR="00EB45E8" w:rsidRPr="00E72E98">
        <w:rPr>
          <w:rFonts w:asciiTheme="majorHAnsi" w:hAnsiTheme="majorHAnsi"/>
        </w:rPr>
        <w:t xml:space="preserve">recente </w:t>
      </w:r>
      <w:r w:rsidR="00671E5A" w:rsidRPr="00E72E98">
        <w:rPr>
          <w:rFonts w:asciiTheme="majorHAnsi" w:hAnsiTheme="majorHAnsi"/>
        </w:rPr>
        <w:t xml:space="preserve">sentenza </w:t>
      </w:r>
      <w:r w:rsidR="003578E4" w:rsidRPr="00E72E98">
        <w:rPr>
          <w:rFonts w:asciiTheme="majorHAnsi" w:hAnsiTheme="majorHAnsi"/>
        </w:rPr>
        <w:t xml:space="preserve">ha stabilito l’irrazionalità di norme che mettano in </w:t>
      </w:r>
      <w:r w:rsidR="003578E4" w:rsidRPr="00E72E98">
        <w:rPr>
          <w:rFonts w:asciiTheme="majorHAnsi" w:hAnsiTheme="majorHAnsi"/>
        </w:rPr>
        <w:lastRenderedPageBreak/>
        <w:t>correlazione il soddisfacimento di bisogni primari con la lunga permanenza su un territorio</w:t>
      </w:r>
      <w:r w:rsidR="00EA7142" w:rsidRPr="00E72E98">
        <w:rPr>
          <w:rFonts w:asciiTheme="majorHAnsi" w:hAnsiTheme="majorHAnsi"/>
        </w:rPr>
        <w:t xml:space="preserve"> - </w:t>
      </w:r>
      <w:r w:rsidR="00671E5A" w:rsidRPr="00E72E98">
        <w:rPr>
          <w:rFonts w:asciiTheme="majorHAnsi" w:hAnsiTheme="majorHAnsi"/>
        </w:rPr>
        <w:t xml:space="preserve"> ma intanto utile alla propaganda </w:t>
      </w:r>
      <w:r w:rsidR="004066ED">
        <w:rPr>
          <w:rFonts w:asciiTheme="majorHAnsi" w:hAnsiTheme="majorHAnsi"/>
        </w:rPr>
        <w:t xml:space="preserve">razzista e </w:t>
      </w:r>
      <w:r w:rsidR="00671E5A" w:rsidRPr="00E72E98">
        <w:rPr>
          <w:rFonts w:asciiTheme="majorHAnsi" w:hAnsiTheme="majorHAnsi"/>
        </w:rPr>
        <w:t>sempre meno distinguibile</w:t>
      </w:r>
      <w:r w:rsidR="003578E4" w:rsidRPr="00E72E98">
        <w:rPr>
          <w:rFonts w:asciiTheme="majorHAnsi" w:hAnsiTheme="majorHAnsi"/>
        </w:rPr>
        <w:t xml:space="preserve"> </w:t>
      </w:r>
      <w:r w:rsidR="00671E5A" w:rsidRPr="00E72E98">
        <w:rPr>
          <w:rFonts w:asciiTheme="majorHAnsi" w:hAnsiTheme="majorHAnsi"/>
        </w:rPr>
        <w:t xml:space="preserve">di Lega e 5Stelle. </w:t>
      </w:r>
    </w:p>
    <w:p w14:paraId="7D54682C" w14:textId="77777777" w:rsidR="00671E5A" w:rsidRPr="00070101" w:rsidRDefault="00671E5A" w:rsidP="00E72E98">
      <w:pPr>
        <w:jc w:val="both"/>
        <w:rPr>
          <w:rFonts w:asciiTheme="majorHAnsi" w:hAnsiTheme="majorHAnsi"/>
          <w:sz w:val="16"/>
          <w:szCs w:val="16"/>
        </w:rPr>
      </w:pPr>
    </w:p>
    <w:p w14:paraId="2A2D4BE2" w14:textId="77777777" w:rsidR="005C4A21" w:rsidRPr="005C4A21" w:rsidRDefault="005C4A21" w:rsidP="00E72E98">
      <w:pPr>
        <w:jc w:val="both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 xml:space="preserve">IL REDDITO E LA FAMIGLIA </w:t>
      </w:r>
    </w:p>
    <w:p w14:paraId="26C4E629" w14:textId="451FD813" w:rsidR="00BB6F95" w:rsidRPr="00E72E98" w:rsidRDefault="00671E5A" w:rsidP="00E72E98">
      <w:pPr>
        <w:jc w:val="both"/>
        <w:rPr>
          <w:rFonts w:asciiTheme="majorHAnsi" w:hAnsiTheme="majorHAnsi"/>
        </w:rPr>
      </w:pPr>
      <w:r w:rsidRPr="00A7580E">
        <w:rPr>
          <w:rFonts w:asciiTheme="majorHAnsi" w:hAnsiTheme="majorHAnsi"/>
        </w:rPr>
        <w:t>L’RdC non sarà una misura individuale – come d</w:t>
      </w:r>
      <w:r w:rsidR="00952989" w:rsidRPr="00A7580E">
        <w:rPr>
          <w:rFonts w:asciiTheme="majorHAnsi" w:hAnsiTheme="majorHAnsi"/>
        </w:rPr>
        <w:t>ovrebbe essere -  ma familiare</w:t>
      </w:r>
      <w:r w:rsidR="004066ED" w:rsidRPr="00A7580E">
        <w:rPr>
          <w:rFonts w:asciiTheme="majorHAnsi" w:hAnsiTheme="majorHAnsi"/>
        </w:rPr>
        <w:t xml:space="preserve">. </w:t>
      </w:r>
      <w:r w:rsidR="004066ED">
        <w:rPr>
          <w:rFonts w:asciiTheme="majorHAnsi" w:hAnsiTheme="majorHAnsi"/>
        </w:rPr>
        <w:t>N</w:t>
      </w:r>
      <w:r w:rsidR="00952989" w:rsidRPr="00E72E98">
        <w:rPr>
          <w:rFonts w:asciiTheme="majorHAnsi" w:hAnsiTheme="majorHAnsi"/>
        </w:rPr>
        <w:t>on solo nel senso che il reddito vie</w:t>
      </w:r>
      <w:r w:rsidR="00EA7142" w:rsidRPr="00E72E98">
        <w:rPr>
          <w:rFonts w:asciiTheme="majorHAnsi" w:hAnsiTheme="majorHAnsi"/>
        </w:rPr>
        <w:t xml:space="preserve">ne erogato ai nuclei familiari, </w:t>
      </w:r>
      <w:r w:rsidR="00B21F69" w:rsidRPr="00E72E98">
        <w:rPr>
          <w:rFonts w:asciiTheme="majorHAnsi" w:hAnsiTheme="majorHAnsi"/>
        </w:rPr>
        <w:t xml:space="preserve">ma nel senso che le varie condizionalità impegnano ogni membro della famiglia e nel caso in cui un singolo membro non </w:t>
      </w:r>
      <w:r w:rsidR="00BB6F95" w:rsidRPr="00E72E98">
        <w:rPr>
          <w:rFonts w:asciiTheme="majorHAnsi" w:hAnsiTheme="majorHAnsi"/>
        </w:rPr>
        <w:t>le</w:t>
      </w:r>
      <w:r w:rsidR="00B21F69" w:rsidRPr="00E72E98">
        <w:rPr>
          <w:rFonts w:asciiTheme="majorHAnsi" w:hAnsiTheme="majorHAnsi"/>
        </w:rPr>
        <w:t xml:space="preserve"> rispetti</w:t>
      </w:r>
      <w:r w:rsidR="00EA7142" w:rsidRPr="00E72E98">
        <w:rPr>
          <w:rFonts w:asciiTheme="majorHAnsi" w:hAnsiTheme="majorHAnsi"/>
        </w:rPr>
        <w:t xml:space="preserve">, la ritorsione </w:t>
      </w:r>
      <w:r w:rsidR="004066ED">
        <w:rPr>
          <w:rFonts w:asciiTheme="majorHAnsi" w:hAnsiTheme="majorHAnsi"/>
        </w:rPr>
        <w:t xml:space="preserve">(la decadenza) </w:t>
      </w:r>
      <w:r w:rsidR="00EA7142" w:rsidRPr="00E72E98">
        <w:rPr>
          <w:rFonts w:asciiTheme="majorHAnsi" w:hAnsiTheme="majorHAnsi"/>
        </w:rPr>
        <w:t>colpisce tutti.</w:t>
      </w:r>
      <w:r w:rsidR="00B21F69" w:rsidRPr="00E72E98">
        <w:rPr>
          <w:rFonts w:asciiTheme="majorHAnsi" w:hAnsiTheme="majorHAnsi"/>
        </w:rPr>
        <w:t xml:space="preserve"> </w:t>
      </w:r>
      <w:r w:rsidR="004066ED">
        <w:rPr>
          <w:rFonts w:asciiTheme="majorHAnsi" w:hAnsiTheme="majorHAnsi"/>
        </w:rPr>
        <w:t xml:space="preserve"> </w:t>
      </w:r>
      <w:r w:rsidR="00BB6F95" w:rsidRPr="00E72E98">
        <w:rPr>
          <w:rFonts w:asciiTheme="majorHAnsi" w:hAnsiTheme="majorHAnsi"/>
        </w:rPr>
        <w:t>Anche in questo caso è tutta da verificare la costituzionalità della norma. Di certo per gli estensori, i</w:t>
      </w:r>
      <w:r w:rsidR="00B21F69" w:rsidRPr="00E72E98">
        <w:rPr>
          <w:rFonts w:asciiTheme="majorHAnsi" w:hAnsiTheme="majorHAnsi"/>
        </w:rPr>
        <w:t>l principio di responsabilità individuale va a farsi b</w:t>
      </w:r>
      <w:r w:rsidR="00BB6F95" w:rsidRPr="00E72E98">
        <w:rPr>
          <w:rFonts w:asciiTheme="majorHAnsi" w:hAnsiTheme="majorHAnsi"/>
        </w:rPr>
        <w:t>enedire, in un disegno in cui il</w:t>
      </w:r>
      <w:r w:rsidR="00B21F69" w:rsidRPr="00E72E98">
        <w:rPr>
          <w:rFonts w:asciiTheme="majorHAnsi" w:hAnsiTheme="majorHAnsi"/>
        </w:rPr>
        <w:t xml:space="preserve"> disciplinamento esterno del mercato del lavoro e delle leggi</w:t>
      </w:r>
      <w:r w:rsidR="00BB6F95" w:rsidRPr="00E72E98">
        <w:rPr>
          <w:rFonts w:asciiTheme="majorHAnsi" w:hAnsiTheme="majorHAnsi"/>
        </w:rPr>
        <w:t xml:space="preserve"> che lo regolano, si intreccia con quello interno della famiglia, sempre più concepita come unità coattiva: dal reddito al ddl Pillon. </w:t>
      </w:r>
    </w:p>
    <w:p w14:paraId="6ABE6A30" w14:textId="77777777" w:rsidR="004066ED" w:rsidRPr="00070101" w:rsidRDefault="004066ED" w:rsidP="00E72E98">
      <w:pPr>
        <w:jc w:val="both"/>
        <w:rPr>
          <w:rFonts w:asciiTheme="majorHAnsi" w:hAnsiTheme="majorHAnsi"/>
          <w:b/>
          <w:sz w:val="16"/>
          <w:szCs w:val="16"/>
        </w:rPr>
      </w:pPr>
    </w:p>
    <w:p w14:paraId="25FCB597" w14:textId="77777777" w:rsidR="004066ED" w:rsidRPr="005C4A21" w:rsidRDefault="005C4A21" w:rsidP="00E72E98">
      <w:pPr>
        <w:jc w:val="both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>I RE</w:t>
      </w:r>
      <w:r>
        <w:rPr>
          <w:rFonts w:asciiTheme="majorHAnsi" w:hAnsiTheme="majorHAnsi"/>
          <w:b/>
        </w:rPr>
        <w:t>QUISITI DI REDDITO E PATRIMONIO</w:t>
      </w:r>
      <w:r w:rsidRPr="005C4A21">
        <w:rPr>
          <w:rFonts w:asciiTheme="majorHAnsi" w:hAnsiTheme="majorHAnsi"/>
          <w:b/>
        </w:rPr>
        <w:t xml:space="preserve"> </w:t>
      </w:r>
    </w:p>
    <w:p w14:paraId="6ACF28E3" w14:textId="77777777" w:rsidR="004066ED" w:rsidRDefault="00747ACB" w:rsidP="00E72E98">
      <w:pPr>
        <w:jc w:val="both"/>
        <w:rPr>
          <w:rFonts w:asciiTheme="majorHAnsi" w:hAnsiTheme="majorHAnsi"/>
        </w:rPr>
      </w:pPr>
      <w:r w:rsidRPr="004066ED">
        <w:rPr>
          <w:rFonts w:asciiTheme="majorHAnsi" w:hAnsiTheme="majorHAnsi"/>
        </w:rPr>
        <w:t>Potranno accedere</w:t>
      </w:r>
      <w:r w:rsidRPr="00E72E98">
        <w:rPr>
          <w:rFonts w:asciiTheme="majorHAnsi" w:hAnsiTheme="majorHAnsi"/>
        </w:rPr>
        <w:t xml:space="preserve"> all’RdC</w:t>
      </w:r>
      <w:r w:rsidR="00916B33" w:rsidRPr="00E72E98">
        <w:rPr>
          <w:rFonts w:asciiTheme="majorHAnsi" w:hAnsiTheme="majorHAnsi"/>
        </w:rPr>
        <w:t xml:space="preserve">, i nuclei familiari </w:t>
      </w:r>
      <w:r w:rsidR="00EA7142" w:rsidRPr="00E72E98">
        <w:rPr>
          <w:rFonts w:asciiTheme="majorHAnsi" w:hAnsiTheme="majorHAnsi"/>
        </w:rPr>
        <w:t>che rispettino congiuntamente i requisiti di</w:t>
      </w:r>
      <w:r w:rsidRPr="00E72E98">
        <w:rPr>
          <w:rFonts w:asciiTheme="majorHAnsi" w:hAnsiTheme="majorHAnsi"/>
        </w:rPr>
        <w:t xml:space="preserve"> </w:t>
      </w:r>
      <w:r w:rsidR="00916B33" w:rsidRPr="00E72E98">
        <w:rPr>
          <w:rFonts w:asciiTheme="majorHAnsi" w:hAnsiTheme="majorHAnsi"/>
        </w:rPr>
        <w:t>un valore ISEE inferiore a 9.360 euro;  un patrimonio immobiliare</w:t>
      </w:r>
      <w:r w:rsidR="00761B47" w:rsidRPr="00E72E98">
        <w:rPr>
          <w:rFonts w:asciiTheme="majorHAnsi" w:hAnsiTheme="majorHAnsi"/>
        </w:rPr>
        <w:t xml:space="preserve">, </w:t>
      </w:r>
      <w:r w:rsidR="00916B33" w:rsidRPr="00E72E98">
        <w:rPr>
          <w:rFonts w:asciiTheme="majorHAnsi" w:hAnsiTheme="majorHAnsi"/>
        </w:rPr>
        <w:t>diverso dalla casa di abitazione</w:t>
      </w:r>
      <w:r w:rsidRPr="00E72E98">
        <w:rPr>
          <w:rFonts w:asciiTheme="majorHAnsi" w:hAnsiTheme="majorHAnsi"/>
        </w:rPr>
        <w:t>,</w:t>
      </w:r>
      <w:r w:rsidR="00916B33" w:rsidRPr="00E72E98">
        <w:rPr>
          <w:rFonts w:asciiTheme="majorHAnsi" w:hAnsiTheme="majorHAnsi"/>
        </w:rPr>
        <w:t xml:space="preserve"> non superiore ai 30mila euro;  un patrimonio mobilia</w:t>
      </w:r>
      <w:r w:rsidR="004066ED">
        <w:rPr>
          <w:rFonts w:asciiTheme="majorHAnsi" w:hAnsiTheme="majorHAnsi"/>
        </w:rPr>
        <w:t>re non superiore ai 6mila euro (</w:t>
      </w:r>
      <w:r w:rsidR="00916B33" w:rsidRPr="00E72E98">
        <w:rPr>
          <w:rFonts w:asciiTheme="majorHAnsi" w:hAnsiTheme="majorHAnsi"/>
        </w:rPr>
        <w:t>accresciuto di 2mila euro per ogni componente della famiglia fino ad un massimo di 10mila e di ulteriori mille euro per ogni figlio successivo al secondo</w:t>
      </w:r>
      <w:r w:rsidR="004066ED">
        <w:rPr>
          <w:rFonts w:asciiTheme="majorHAnsi" w:hAnsiTheme="majorHAnsi"/>
        </w:rPr>
        <w:t>)</w:t>
      </w:r>
      <w:r w:rsidR="00916B33" w:rsidRPr="00E72E98">
        <w:rPr>
          <w:rFonts w:asciiTheme="majorHAnsi" w:hAnsiTheme="majorHAnsi"/>
        </w:rPr>
        <w:t xml:space="preserve">; un valore del reddito familiare di 6mila euro per i singoli, moltiplicato per la scala di equivalenza secondo il numero dei componenti (+0,4 dal secondo membro maggiorenne in poi, + 0,2 per i minori). </w:t>
      </w:r>
    </w:p>
    <w:p w14:paraId="4E1AAD99" w14:textId="4B7CCFE4" w:rsidR="00F46E08" w:rsidRPr="00D1566B" w:rsidRDefault="00F46E08" w:rsidP="00E72E98">
      <w:pPr>
        <w:jc w:val="both"/>
        <w:rPr>
          <w:rFonts w:asciiTheme="majorHAnsi" w:hAnsiTheme="majorHAnsi"/>
          <w:b/>
        </w:rPr>
      </w:pPr>
      <w:r w:rsidRPr="00D1566B">
        <w:rPr>
          <w:rFonts w:asciiTheme="majorHAnsi" w:hAnsiTheme="majorHAnsi"/>
          <w:b/>
        </w:rPr>
        <w:t xml:space="preserve">La scala di equivalenza è ridotta rispetto a quella dell’Isee, il che determina una penalizzazione per le famiglie numerose, in particolare se con minori. </w:t>
      </w:r>
    </w:p>
    <w:p w14:paraId="28606DCC" w14:textId="77777777" w:rsidR="00916B33" w:rsidRPr="00E72E98" w:rsidRDefault="00747ACB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>Per l’accesso alla pensioni di cittadinanza il valore del reddito</w:t>
      </w:r>
      <w:r w:rsidR="00C83FED" w:rsidRPr="00E72E98">
        <w:rPr>
          <w:rFonts w:asciiTheme="majorHAnsi" w:hAnsiTheme="majorHAnsi"/>
        </w:rPr>
        <w:t xml:space="preserve"> soglia</w:t>
      </w:r>
      <w:r w:rsidRPr="00E72E98">
        <w:rPr>
          <w:rFonts w:asciiTheme="majorHAnsi" w:hAnsiTheme="majorHAnsi"/>
        </w:rPr>
        <w:t xml:space="preserve"> è incrementato a 7.560 euro. </w:t>
      </w:r>
    </w:p>
    <w:p w14:paraId="16610327" w14:textId="77777777" w:rsidR="00747ACB" w:rsidRPr="00E72E98" w:rsidRDefault="00747ACB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 xml:space="preserve">Nessun componente della famiglia dovrà possedere auto nuove acquistate 6 mesi prima, o con cilindrata superiore a 1600 cc, o moto superiori a 250 cc immatricolati due anni prima. </w:t>
      </w:r>
    </w:p>
    <w:p w14:paraId="22C2B30E" w14:textId="2249357E" w:rsidR="00747ACB" w:rsidRPr="00E72E98" w:rsidRDefault="00747ACB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>Nessun componente della famiglia dovrà aver dato dimissioni volontarie</w:t>
      </w:r>
      <w:r w:rsidR="001F3F3D">
        <w:rPr>
          <w:rFonts w:asciiTheme="majorHAnsi" w:hAnsiTheme="majorHAnsi"/>
        </w:rPr>
        <w:t xml:space="preserve"> </w:t>
      </w:r>
      <w:r w:rsidRPr="00E72E98">
        <w:rPr>
          <w:rFonts w:asciiTheme="majorHAnsi" w:hAnsiTheme="majorHAnsi"/>
        </w:rPr>
        <w:t>nell’ann</w:t>
      </w:r>
      <w:r w:rsidR="00D1566B">
        <w:rPr>
          <w:rFonts w:asciiTheme="majorHAnsi" w:hAnsiTheme="majorHAnsi"/>
        </w:rPr>
        <w:t xml:space="preserve">o precedente, senza nessuna analisi delle motivazioni specifiche nei diversi casi. </w:t>
      </w:r>
    </w:p>
    <w:p w14:paraId="225BE94B" w14:textId="566D9771" w:rsidR="00747ACB" w:rsidRPr="00E72E98" w:rsidRDefault="00747ACB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 xml:space="preserve">Il </w:t>
      </w:r>
      <w:r w:rsidR="00C83FED" w:rsidRPr="00E72E98">
        <w:rPr>
          <w:rFonts w:asciiTheme="majorHAnsi" w:hAnsiTheme="majorHAnsi"/>
          <w:b/>
        </w:rPr>
        <w:t xml:space="preserve">sussidio </w:t>
      </w:r>
      <w:r w:rsidR="00C83FED" w:rsidRPr="00E72E98">
        <w:rPr>
          <w:rFonts w:asciiTheme="majorHAnsi" w:hAnsiTheme="majorHAnsi"/>
        </w:rPr>
        <w:t xml:space="preserve">sarà corrispondente alla differenza tra il reddito percepito e la soglia di 780 euro mensili. Non potrà in ogni caso superare i 6mila euro </w:t>
      </w:r>
      <w:r w:rsidR="00E41231">
        <w:rPr>
          <w:rFonts w:asciiTheme="majorHAnsi" w:hAnsiTheme="majorHAnsi"/>
        </w:rPr>
        <w:t>annui</w:t>
      </w:r>
      <w:r w:rsidR="00874E51">
        <w:rPr>
          <w:rFonts w:asciiTheme="majorHAnsi" w:hAnsiTheme="majorHAnsi"/>
        </w:rPr>
        <w:t xml:space="preserve"> </w:t>
      </w:r>
      <w:r w:rsidR="00C83FED" w:rsidRPr="00E72E98">
        <w:rPr>
          <w:rFonts w:asciiTheme="majorHAnsi" w:hAnsiTheme="majorHAnsi"/>
        </w:rPr>
        <w:t>per un singolo che non abbia alcun reddito (</w:t>
      </w:r>
      <w:r w:rsidRPr="00E72E98">
        <w:rPr>
          <w:rFonts w:asciiTheme="majorHAnsi" w:hAnsiTheme="majorHAnsi"/>
        </w:rPr>
        <w:t>moltiplica</w:t>
      </w:r>
      <w:r w:rsidR="00C83FED" w:rsidRPr="00E72E98">
        <w:rPr>
          <w:rFonts w:asciiTheme="majorHAnsi" w:hAnsiTheme="majorHAnsi"/>
        </w:rPr>
        <w:t xml:space="preserve">to per la scala di equivalenza per più componenti) e di una ulteriore quota fino ad un massimo di 3360 euro per chi vive in affitto. </w:t>
      </w:r>
    </w:p>
    <w:p w14:paraId="3B11A77B" w14:textId="77777777" w:rsidR="00747ACB" w:rsidRPr="00E72E98" w:rsidRDefault="00761B47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 xml:space="preserve">Sarà corrisposto per 18 mesi, e potrà essere rinnovato dopo la sospensione di un mese. </w:t>
      </w:r>
    </w:p>
    <w:p w14:paraId="2F52ED3B" w14:textId="582946F3" w:rsidR="004066ED" w:rsidRDefault="005C4A21" w:rsidP="004066ED">
      <w:pPr>
        <w:jc w:val="both"/>
        <w:rPr>
          <w:rFonts w:asciiTheme="majorHAnsi" w:hAnsiTheme="majorHAnsi"/>
        </w:rPr>
      </w:pPr>
      <w:r w:rsidRPr="004066ED">
        <w:rPr>
          <w:rFonts w:asciiTheme="majorHAnsi" w:hAnsiTheme="majorHAnsi"/>
          <w:b/>
        </w:rPr>
        <w:t>IN CASO DI FALSE DICHIARAZIONI</w:t>
      </w:r>
      <w:r w:rsidRPr="00E72E98">
        <w:rPr>
          <w:rFonts w:asciiTheme="majorHAnsi" w:hAnsiTheme="majorHAnsi"/>
        </w:rPr>
        <w:t xml:space="preserve"> </w:t>
      </w:r>
      <w:r w:rsidR="005E7C7F">
        <w:rPr>
          <w:rFonts w:asciiTheme="majorHAnsi" w:hAnsiTheme="majorHAnsi"/>
        </w:rPr>
        <w:t>sono previste pene da 2</w:t>
      </w:r>
      <w:r w:rsidR="004066ED" w:rsidRPr="00E72E98">
        <w:rPr>
          <w:rFonts w:asciiTheme="majorHAnsi" w:hAnsiTheme="majorHAnsi"/>
        </w:rPr>
        <w:t xml:space="preserve"> a 6 anni con la r</w:t>
      </w:r>
      <w:r w:rsidR="005E7C7F">
        <w:rPr>
          <w:rFonts w:asciiTheme="majorHAnsi" w:hAnsiTheme="majorHAnsi"/>
        </w:rPr>
        <w:t xml:space="preserve">estituzione di quanto ricevuto (aumenta di un anno rispetto alla prima versione la durata minima della detenzione). </w:t>
      </w:r>
    </w:p>
    <w:p w14:paraId="1B63B838" w14:textId="77777777" w:rsidR="005C4A21" w:rsidRPr="00070101" w:rsidRDefault="005C4A21" w:rsidP="00E72E98">
      <w:pPr>
        <w:jc w:val="both"/>
        <w:rPr>
          <w:rFonts w:asciiTheme="majorHAnsi" w:hAnsiTheme="majorHAnsi"/>
          <w:sz w:val="16"/>
          <w:szCs w:val="16"/>
        </w:rPr>
      </w:pPr>
    </w:p>
    <w:p w14:paraId="5B9EF045" w14:textId="77777777" w:rsidR="005C4A21" w:rsidRPr="005C4A21" w:rsidRDefault="005C4A21" w:rsidP="00E72E98">
      <w:pPr>
        <w:jc w:val="both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>IL PATTO PER IL LAVORO E IL PATTO PER L’INCLUSIONE SOCIALE</w:t>
      </w:r>
    </w:p>
    <w:p w14:paraId="7B745C2F" w14:textId="77777777" w:rsidR="00F36B0B" w:rsidRPr="00E72E98" w:rsidRDefault="00EB45E8" w:rsidP="00E72E98">
      <w:pPr>
        <w:jc w:val="both"/>
        <w:rPr>
          <w:rFonts w:asciiTheme="majorHAnsi" w:hAnsiTheme="majorHAnsi"/>
        </w:rPr>
      </w:pPr>
      <w:r w:rsidRPr="00E72E98">
        <w:rPr>
          <w:rFonts w:asciiTheme="majorHAnsi" w:hAnsiTheme="majorHAnsi"/>
        </w:rPr>
        <w:t>Tutti i maggiorenni dovranno dichiarare l’immediata disponibi</w:t>
      </w:r>
      <w:r w:rsidR="00995625" w:rsidRPr="00E72E98">
        <w:rPr>
          <w:rFonts w:asciiTheme="majorHAnsi" w:hAnsiTheme="majorHAnsi"/>
        </w:rPr>
        <w:t xml:space="preserve">lità al lavoro, al percorso di formazione </w:t>
      </w:r>
      <w:r w:rsidRPr="00E72E98">
        <w:rPr>
          <w:rFonts w:asciiTheme="majorHAnsi" w:hAnsiTheme="majorHAnsi"/>
        </w:rPr>
        <w:t>o riqualificazione, e alle attiv</w:t>
      </w:r>
      <w:r w:rsidR="00995625" w:rsidRPr="00E72E98">
        <w:rPr>
          <w:rFonts w:asciiTheme="majorHAnsi" w:hAnsiTheme="majorHAnsi"/>
        </w:rPr>
        <w:t xml:space="preserve">ità al servizio della comunità ( 8 ore settimanali gratuite nei progetti dei comuni). </w:t>
      </w:r>
      <w:r w:rsidRPr="00E72E98">
        <w:rPr>
          <w:rFonts w:asciiTheme="majorHAnsi" w:hAnsiTheme="majorHAnsi"/>
        </w:rPr>
        <w:t xml:space="preserve">Dovranno svolgere attività di ricerca di lavoro definite </w:t>
      </w:r>
      <w:r w:rsidR="00995625" w:rsidRPr="00E72E98">
        <w:rPr>
          <w:rFonts w:asciiTheme="majorHAnsi" w:hAnsiTheme="majorHAnsi"/>
        </w:rPr>
        <w:t>e documentate settimanalmente</w:t>
      </w:r>
      <w:r w:rsidRPr="00E72E98">
        <w:rPr>
          <w:rFonts w:asciiTheme="majorHAnsi" w:hAnsiTheme="majorHAnsi"/>
        </w:rPr>
        <w:t xml:space="preserve">, </w:t>
      </w:r>
      <w:r w:rsidR="00995625" w:rsidRPr="00E72E98">
        <w:rPr>
          <w:rFonts w:asciiTheme="majorHAnsi" w:hAnsiTheme="majorHAnsi"/>
        </w:rPr>
        <w:t>fare colloqui psico-attitudinali,</w:t>
      </w:r>
      <w:r w:rsidRPr="00E72E98">
        <w:rPr>
          <w:rFonts w:asciiTheme="majorHAnsi" w:hAnsiTheme="majorHAnsi"/>
        </w:rPr>
        <w:t xml:space="preserve"> accettare </w:t>
      </w:r>
      <w:r w:rsidR="00995625" w:rsidRPr="00E72E98">
        <w:rPr>
          <w:rFonts w:asciiTheme="majorHAnsi" w:hAnsiTheme="majorHAnsi"/>
        </w:rPr>
        <w:t xml:space="preserve">una </w:t>
      </w:r>
      <w:r w:rsidRPr="00E72E98">
        <w:rPr>
          <w:rFonts w:asciiTheme="majorHAnsi" w:hAnsiTheme="majorHAnsi"/>
        </w:rPr>
        <w:t>delle tre offerte di lavo</w:t>
      </w:r>
      <w:r w:rsidR="00DF4298" w:rsidRPr="00E72E98">
        <w:rPr>
          <w:rFonts w:asciiTheme="majorHAnsi" w:hAnsiTheme="majorHAnsi"/>
        </w:rPr>
        <w:t>ro congrue nei primi dodici mesi</w:t>
      </w:r>
      <w:r w:rsidR="00A20F31">
        <w:rPr>
          <w:rFonts w:asciiTheme="majorHAnsi" w:hAnsiTheme="majorHAnsi"/>
        </w:rPr>
        <w:t xml:space="preserve">. Dopo il primo anno </w:t>
      </w:r>
      <w:r w:rsidR="00DF4298" w:rsidRPr="00E72E98">
        <w:rPr>
          <w:rFonts w:asciiTheme="majorHAnsi" w:hAnsiTheme="majorHAnsi"/>
        </w:rPr>
        <w:t xml:space="preserve">o in caso di rinnovo, </w:t>
      </w:r>
      <w:r w:rsidRPr="00E72E98">
        <w:rPr>
          <w:rFonts w:asciiTheme="majorHAnsi" w:hAnsiTheme="majorHAnsi"/>
        </w:rPr>
        <w:t xml:space="preserve">dovranno accettare la prima offerta utile. </w:t>
      </w:r>
      <w:r w:rsidR="00F36B0B" w:rsidRPr="00E72E98">
        <w:rPr>
          <w:rFonts w:asciiTheme="majorHAnsi" w:hAnsiTheme="majorHAnsi"/>
        </w:rPr>
        <w:t>Come già detto, nel caso in cui uno dei componenti non sottoscriva entrambe i Patti, l’RdC decade per tutto il nucleo familiare. Nel caso di assenze ingiustificate</w:t>
      </w:r>
      <w:r w:rsidR="00100CD5" w:rsidRPr="00E72E98">
        <w:rPr>
          <w:rFonts w:asciiTheme="majorHAnsi" w:hAnsiTheme="majorHAnsi"/>
        </w:rPr>
        <w:t xml:space="preserve"> alle convocazioni dei Centro per l’Impiego anche di un solo membro</w:t>
      </w:r>
      <w:r w:rsidR="00F36B0B" w:rsidRPr="00E72E98">
        <w:rPr>
          <w:rFonts w:asciiTheme="majorHAnsi" w:hAnsiTheme="majorHAnsi"/>
        </w:rPr>
        <w:t xml:space="preserve"> invece</w:t>
      </w:r>
      <w:r w:rsidR="00100CD5" w:rsidRPr="00E72E98">
        <w:rPr>
          <w:rFonts w:asciiTheme="majorHAnsi" w:hAnsiTheme="majorHAnsi"/>
        </w:rPr>
        <w:t xml:space="preserve">, scattano  le </w:t>
      </w:r>
      <w:r w:rsidR="00F36B0B" w:rsidRPr="00E72E98">
        <w:rPr>
          <w:rFonts w:asciiTheme="majorHAnsi" w:hAnsiTheme="majorHAnsi"/>
        </w:rPr>
        <w:t xml:space="preserve">decurtazioni (un mese per un’assenza, due </w:t>
      </w:r>
      <w:r w:rsidR="00100CD5" w:rsidRPr="00E72E98">
        <w:rPr>
          <w:rFonts w:asciiTheme="majorHAnsi" w:hAnsiTheme="majorHAnsi"/>
        </w:rPr>
        <w:t>mesi per due, la decadenza per tre assenze</w:t>
      </w:r>
      <w:r w:rsidR="00874E51">
        <w:rPr>
          <w:rFonts w:asciiTheme="majorHAnsi" w:hAnsiTheme="majorHAnsi"/>
        </w:rPr>
        <w:t>)</w:t>
      </w:r>
      <w:r w:rsidR="00100CD5" w:rsidRPr="00E72E98">
        <w:rPr>
          <w:rFonts w:asciiTheme="majorHAnsi" w:hAnsiTheme="majorHAnsi"/>
        </w:rPr>
        <w:t xml:space="preserve">. </w:t>
      </w:r>
    </w:p>
    <w:p w14:paraId="3A015E1A" w14:textId="77777777" w:rsidR="00100CD5" w:rsidRPr="00070101" w:rsidRDefault="00100CD5" w:rsidP="00E72E98">
      <w:pPr>
        <w:jc w:val="both"/>
        <w:rPr>
          <w:rFonts w:asciiTheme="majorHAnsi" w:hAnsiTheme="majorHAnsi"/>
          <w:b/>
          <w:sz w:val="16"/>
          <w:szCs w:val="16"/>
        </w:rPr>
      </w:pPr>
    </w:p>
    <w:p w14:paraId="6183DBFE" w14:textId="77777777" w:rsidR="00100CD5" w:rsidRPr="005C4A21" w:rsidRDefault="005C4A21" w:rsidP="00E72E98">
      <w:pPr>
        <w:jc w:val="both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>LA CONGRUITÀ DELL’OFFERTA DI LAVORO</w:t>
      </w:r>
    </w:p>
    <w:p w14:paraId="1A9B833B" w14:textId="373E724B" w:rsidR="00100CD5" w:rsidRPr="00E72E98" w:rsidRDefault="006D16CD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Nei primi 12</w:t>
      </w:r>
      <w:r w:rsidR="00995625" w:rsidRPr="00E72E98">
        <w:rPr>
          <w:rFonts w:asciiTheme="majorHAnsi" w:hAnsiTheme="majorHAnsi"/>
        </w:rPr>
        <w:t xml:space="preserve"> mesi è definita congrua un’offerta </w:t>
      </w:r>
      <w:r w:rsidR="004066ED">
        <w:rPr>
          <w:rFonts w:asciiTheme="majorHAnsi" w:hAnsiTheme="majorHAnsi"/>
        </w:rPr>
        <w:t xml:space="preserve">di lavoro </w:t>
      </w:r>
      <w:r w:rsidR="00995625" w:rsidRPr="00E72E98">
        <w:rPr>
          <w:rFonts w:asciiTheme="majorHAnsi" w:hAnsiTheme="majorHAnsi"/>
        </w:rPr>
        <w:t>entro</w:t>
      </w:r>
      <w:r>
        <w:rPr>
          <w:rFonts w:asciiTheme="majorHAnsi" w:hAnsiTheme="majorHAnsi"/>
        </w:rPr>
        <w:t xml:space="preserve"> 100 chilometri dalla residenza se si tratta della prima offerta, 250 chilometri se è la seconda offerta, ovunque nel territorio nazionale se è la terza offerta.  Oltre il dodicesimo</w:t>
      </w:r>
      <w:r w:rsidR="00995625" w:rsidRPr="00E72E98">
        <w:rPr>
          <w:rFonts w:asciiTheme="majorHAnsi" w:hAnsiTheme="majorHAnsi"/>
        </w:rPr>
        <w:t xml:space="preserve"> mese è congrua un</w:t>
      </w:r>
      <w:r>
        <w:rPr>
          <w:rFonts w:asciiTheme="majorHAnsi" w:hAnsiTheme="majorHAnsi"/>
        </w:rPr>
        <w:t xml:space="preserve">’offerta entro i 250 chilometri se è la prima o la seconda offerta, ovunque se è la terza. </w:t>
      </w:r>
      <w:r w:rsidR="00995625" w:rsidRPr="00E72E98">
        <w:rPr>
          <w:rFonts w:asciiTheme="majorHAnsi" w:hAnsiTheme="majorHAnsi"/>
        </w:rPr>
        <w:t xml:space="preserve"> </w:t>
      </w:r>
      <w:r w:rsidR="005E7C7F">
        <w:rPr>
          <w:rFonts w:asciiTheme="majorHAnsi" w:hAnsiTheme="majorHAnsi"/>
        </w:rPr>
        <w:t>In caso di rinnovo, vale un’offerta ovunque nel territorio nazionale</w:t>
      </w:r>
      <w:r>
        <w:rPr>
          <w:rFonts w:asciiTheme="majorHAnsi" w:hAnsiTheme="majorHAnsi"/>
        </w:rPr>
        <w:t xml:space="preserve">. Solo nel caso in cui </w:t>
      </w:r>
      <w:r w:rsidR="00995625" w:rsidRPr="00E72E98">
        <w:rPr>
          <w:rFonts w:asciiTheme="majorHAnsi" w:hAnsiTheme="majorHAnsi"/>
        </w:rPr>
        <w:t xml:space="preserve">nel nucleo familiare </w:t>
      </w:r>
      <w:r>
        <w:rPr>
          <w:rFonts w:asciiTheme="majorHAnsi" w:hAnsiTheme="majorHAnsi"/>
        </w:rPr>
        <w:t>vi siano persone con disabilità, la distanza massima resta a 250 chilometri</w:t>
      </w:r>
      <w:r w:rsidR="005E7C7F">
        <w:rPr>
          <w:rFonts w:asciiTheme="majorHAnsi" w:hAnsiTheme="majorHAnsi"/>
        </w:rPr>
        <w:t>.</w:t>
      </w:r>
      <w:r w:rsidR="00100CD5" w:rsidRPr="00E72E98">
        <w:rPr>
          <w:rFonts w:asciiTheme="majorHAnsi" w:hAnsiTheme="majorHAnsi"/>
        </w:rPr>
        <w:t xml:space="preserve"> </w:t>
      </w:r>
      <w:r w:rsidR="00DF4298" w:rsidRPr="00E72E98">
        <w:rPr>
          <w:rFonts w:asciiTheme="majorHAnsi" w:hAnsiTheme="majorHAnsi"/>
        </w:rPr>
        <w:t xml:space="preserve">Viene richiamata </w:t>
      </w:r>
      <w:r w:rsidR="00F36B0B" w:rsidRPr="00E72E98">
        <w:rPr>
          <w:rFonts w:asciiTheme="majorHAnsi" w:hAnsiTheme="majorHAnsi"/>
        </w:rPr>
        <w:t xml:space="preserve">la definizione di congruità di uno decreti attuativi del Jobs Act, ma non il successivo decreto Poletti dell’aprile 2018. Va ricordato che secondo questo decreto (che il testo del RdC peggiora </w:t>
      </w:r>
      <w:r w:rsidR="00F53CE2">
        <w:rPr>
          <w:rFonts w:asciiTheme="majorHAnsi" w:hAnsiTheme="majorHAnsi"/>
        </w:rPr>
        <w:t xml:space="preserve">nettamente </w:t>
      </w:r>
      <w:r w:rsidR="00F36B0B" w:rsidRPr="00E72E98">
        <w:rPr>
          <w:rFonts w:asciiTheme="majorHAnsi" w:hAnsiTheme="majorHAnsi"/>
        </w:rPr>
        <w:t>rispetto alla distanza dal luogo di residenza), viene definita congrua un’offerta an</w:t>
      </w:r>
      <w:r w:rsidR="00100CD5" w:rsidRPr="00E72E98">
        <w:rPr>
          <w:rFonts w:asciiTheme="majorHAnsi" w:hAnsiTheme="majorHAnsi"/>
        </w:rPr>
        <w:t xml:space="preserve">che a tempo determinato, purché </w:t>
      </w:r>
      <w:r w:rsidR="00F36B0B" w:rsidRPr="00E72E98">
        <w:rPr>
          <w:rFonts w:asciiTheme="majorHAnsi" w:hAnsiTheme="majorHAnsi"/>
        </w:rPr>
        <w:t xml:space="preserve">non inferiore ai </w:t>
      </w:r>
      <w:r w:rsidR="00F36B0B" w:rsidRPr="00E72E98">
        <w:rPr>
          <w:rFonts w:asciiTheme="majorHAnsi" w:hAnsiTheme="majorHAnsi"/>
          <w:b/>
        </w:rPr>
        <w:t>3 mesi di durata</w:t>
      </w:r>
      <w:r w:rsidR="00F36B0B" w:rsidRPr="00E72E98">
        <w:rPr>
          <w:rFonts w:asciiTheme="majorHAnsi" w:hAnsiTheme="majorHAnsi"/>
        </w:rPr>
        <w:t xml:space="preserve">. </w:t>
      </w:r>
      <w:r w:rsidR="00100CD5" w:rsidRPr="00E72E98">
        <w:rPr>
          <w:rFonts w:asciiTheme="majorHAnsi" w:hAnsiTheme="majorHAnsi"/>
        </w:rPr>
        <w:t xml:space="preserve"> </w:t>
      </w:r>
      <w:r w:rsidR="00D65A29" w:rsidRPr="00E72E98">
        <w:rPr>
          <w:rFonts w:asciiTheme="majorHAnsi" w:hAnsiTheme="majorHAnsi"/>
        </w:rPr>
        <w:t>In sostanza ci si dovrebbe</w:t>
      </w:r>
      <w:r w:rsidR="00F36B0B" w:rsidRPr="00E72E98">
        <w:rPr>
          <w:rFonts w:asciiTheme="majorHAnsi" w:hAnsiTheme="majorHAnsi"/>
        </w:rPr>
        <w:t xml:space="preserve"> spostare o</w:t>
      </w:r>
      <w:r w:rsidR="00100CD5" w:rsidRPr="00E72E98">
        <w:rPr>
          <w:rFonts w:asciiTheme="majorHAnsi" w:hAnsiTheme="majorHAnsi"/>
        </w:rPr>
        <w:t>vunque nel territorio nazionale</w:t>
      </w:r>
      <w:r w:rsidR="00F36B0B" w:rsidRPr="00E72E98">
        <w:rPr>
          <w:rFonts w:asciiTheme="majorHAnsi" w:hAnsiTheme="majorHAnsi"/>
        </w:rPr>
        <w:t xml:space="preserve"> per non perdere un lavoro</w:t>
      </w:r>
      <w:r w:rsidR="00D65A29" w:rsidRPr="00E72E98">
        <w:rPr>
          <w:rFonts w:asciiTheme="majorHAnsi" w:hAnsiTheme="majorHAnsi"/>
        </w:rPr>
        <w:t xml:space="preserve"> che dura un trimestre</w:t>
      </w:r>
      <w:r w:rsidR="00F36B0B" w:rsidRPr="00E72E98">
        <w:rPr>
          <w:rFonts w:asciiTheme="majorHAnsi" w:hAnsiTheme="majorHAnsi"/>
        </w:rPr>
        <w:t xml:space="preserve">. </w:t>
      </w:r>
    </w:p>
    <w:p w14:paraId="5B062DBF" w14:textId="77777777" w:rsidR="00D65A29" w:rsidRPr="00070101" w:rsidRDefault="00D65A29" w:rsidP="00E72E98">
      <w:pPr>
        <w:jc w:val="both"/>
        <w:rPr>
          <w:rFonts w:asciiTheme="majorHAnsi" w:hAnsiTheme="majorHAnsi"/>
          <w:sz w:val="16"/>
          <w:szCs w:val="16"/>
        </w:rPr>
      </w:pPr>
    </w:p>
    <w:p w14:paraId="1715E4E3" w14:textId="05FA62F2" w:rsidR="00100CD5" w:rsidRPr="005C4A21" w:rsidRDefault="00D1566B" w:rsidP="00E72E9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 </w:t>
      </w:r>
      <w:r w:rsidR="005C4A21" w:rsidRPr="005C4A21">
        <w:rPr>
          <w:rFonts w:asciiTheme="majorHAnsi" w:hAnsiTheme="majorHAnsi"/>
          <w:b/>
        </w:rPr>
        <w:t>SOLDI ALLE IMPRESE</w:t>
      </w:r>
      <w:r w:rsidR="00F53CE2">
        <w:rPr>
          <w:rFonts w:asciiTheme="majorHAnsi" w:hAnsiTheme="majorHAnsi"/>
          <w:b/>
        </w:rPr>
        <w:t xml:space="preserve"> </w:t>
      </w:r>
    </w:p>
    <w:p w14:paraId="6F39BBA6" w14:textId="2C93A0C1" w:rsidR="00E92355" w:rsidRPr="00E72E98" w:rsidRDefault="006D16CD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</w:t>
      </w:r>
      <w:r w:rsidR="00D65A29" w:rsidRPr="00E72E98">
        <w:rPr>
          <w:rFonts w:asciiTheme="majorHAnsi" w:hAnsiTheme="majorHAnsi"/>
        </w:rPr>
        <w:t xml:space="preserve">datore di lavoro </w:t>
      </w:r>
      <w:r>
        <w:rPr>
          <w:rFonts w:asciiTheme="majorHAnsi" w:hAnsiTheme="majorHAnsi"/>
        </w:rPr>
        <w:t xml:space="preserve">che </w:t>
      </w:r>
      <w:r w:rsidR="00D65A29" w:rsidRPr="00E72E98">
        <w:rPr>
          <w:rFonts w:asciiTheme="majorHAnsi" w:hAnsiTheme="majorHAnsi"/>
        </w:rPr>
        <w:t>assuma a tempo pieno e indet</w:t>
      </w:r>
      <w:r w:rsidR="00BA4D98">
        <w:rPr>
          <w:rFonts w:asciiTheme="majorHAnsi" w:hAnsiTheme="majorHAnsi"/>
        </w:rPr>
        <w:t>erminato il beneficiario dell’RdC</w:t>
      </w:r>
      <w:r w:rsidR="00E25C1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E25C1B">
        <w:rPr>
          <w:rFonts w:asciiTheme="majorHAnsi" w:hAnsiTheme="majorHAnsi"/>
        </w:rPr>
        <w:t>e realizzi</w:t>
      </w:r>
      <w:r w:rsidR="00BA4D98">
        <w:rPr>
          <w:rFonts w:asciiTheme="majorHAnsi" w:hAnsiTheme="majorHAnsi"/>
        </w:rPr>
        <w:t xml:space="preserve"> in questo modo un incremento del numero di occupati,  </w:t>
      </w:r>
      <w:r>
        <w:rPr>
          <w:rFonts w:asciiTheme="majorHAnsi" w:hAnsiTheme="majorHAnsi"/>
        </w:rPr>
        <w:t xml:space="preserve">è riconosciuto </w:t>
      </w:r>
      <w:r w:rsidR="00A5670D">
        <w:rPr>
          <w:rFonts w:asciiTheme="majorHAnsi" w:hAnsiTheme="majorHAnsi"/>
        </w:rPr>
        <w:t xml:space="preserve">uno </w:t>
      </w:r>
      <w:r w:rsidR="00A06ED0">
        <w:rPr>
          <w:rFonts w:asciiTheme="majorHAnsi" w:hAnsiTheme="majorHAnsi"/>
        </w:rPr>
        <w:t>sgravio contributivo</w:t>
      </w:r>
      <w:r w:rsidR="00D65A29" w:rsidRPr="00E72E98">
        <w:rPr>
          <w:rFonts w:asciiTheme="majorHAnsi" w:hAnsiTheme="majorHAnsi"/>
        </w:rPr>
        <w:t xml:space="preserve"> pari alla differenza tra 18 mensilità </w:t>
      </w:r>
      <w:r w:rsidR="00BA4D98">
        <w:rPr>
          <w:rFonts w:asciiTheme="majorHAnsi" w:hAnsiTheme="majorHAnsi"/>
        </w:rPr>
        <w:t>e il reddito</w:t>
      </w:r>
      <w:r w:rsidR="00D65A29" w:rsidRPr="00E72E98">
        <w:rPr>
          <w:rFonts w:asciiTheme="majorHAnsi" w:hAnsiTheme="majorHAnsi"/>
        </w:rPr>
        <w:t xml:space="preserve"> già </w:t>
      </w:r>
      <w:r>
        <w:rPr>
          <w:rFonts w:asciiTheme="majorHAnsi" w:hAnsiTheme="majorHAnsi"/>
        </w:rPr>
        <w:t xml:space="preserve">goduto. Lo sgravio non sarà comunque inferiore a 5 mensilità. La versione </w:t>
      </w:r>
      <w:r w:rsidR="00E25C1B">
        <w:rPr>
          <w:rFonts w:asciiTheme="majorHAnsi" w:hAnsiTheme="majorHAnsi"/>
        </w:rPr>
        <w:t xml:space="preserve">finale </w:t>
      </w:r>
      <w:r w:rsidR="00A5670D">
        <w:rPr>
          <w:rFonts w:asciiTheme="majorHAnsi" w:hAnsiTheme="majorHAnsi"/>
        </w:rPr>
        <w:t>eli</w:t>
      </w:r>
      <w:r w:rsidR="00E92355">
        <w:rPr>
          <w:rFonts w:asciiTheme="majorHAnsi" w:hAnsiTheme="majorHAnsi"/>
        </w:rPr>
        <w:t xml:space="preserve">mina il mese </w:t>
      </w:r>
      <w:r w:rsidR="00E25C1B">
        <w:rPr>
          <w:rFonts w:asciiTheme="majorHAnsi" w:hAnsiTheme="majorHAnsi"/>
        </w:rPr>
        <w:t xml:space="preserve">aggiuntivo </w:t>
      </w:r>
      <w:r w:rsidR="00E92355">
        <w:rPr>
          <w:rFonts w:asciiTheme="majorHAnsi" w:hAnsiTheme="majorHAnsi"/>
        </w:rPr>
        <w:t>(6 mesi di sgravio</w:t>
      </w:r>
      <w:r w:rsidR="005226FF">
        <w:rPr>
          <w:rFonts w:asciiTheme="majorHAnsi" w:hAnsiTheme="majorHAnsi"/>
        </w:rPr>
        <w:t xml:space="preserve"> fisso) previsto</w:t>
      </w:r>
      <w:r w:rsidR="00E92355">
        <w:rPr>
          <w:rFonts w:asciiTheme="majorHAnsi" w:hAnsiTheme="majorHAnsi"/>
        </w:rPr>
        <w:t xml:space="preserve"> </w:t>
      </w:r>
      <w:r w:rsidR="00A06ED0">
        <w:rPr>
          <w:rFonts w:asciiTheme="majorHAnsi" w:hAnsiTheme="majorHAnsi"/>
        </w:rPr>
        <w:t>inizialmente</w:t>
      </w:r>
      <w:r w:rsidR="00E923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per le donne ed i soggetti svantaggiati. </w:t>
      </w:r>
    </w:p>
    <w:p w14:paraId="08DFA93A" w14:textId="3BFCF1B8" w:rsidR="00D65A29" w:rsidRDefault="00E25C1B" w:rsidP="00E72E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Nel testo definitivo </w:t>
      </w:r>
      <w:r w:rsidR="00A5670D">
        <w:rPr>
          <w:rFonts w:asciiTheme="majorHAnsi" w:hAnsiTheme="majorHAnsi"/>
        </w:rPr>
        <w:t>viene eliminata</w:t>
      </w:r>
      <w:r>
        <w:rPr>
          <w:rFonts w:asciiTheme="majorHAnsi" w:hAnsiTheme="majorHAnsi"/>
        </w:rPr>
        <w:t xml:space="preserve"> </w:t>
      </w:r>
      <w:r w:rsidR="00A5670D">
        <w:rPr>
          <w:rFonts w:asciiTheme="majorHAnsi" w:hAnsiTheme="majorHAnsi"/>
        </w:rPr>
        <w:t xml:space="preserve">la </w:t>
      </w:r>
      <w:r w:rsidR="00100B95">
        <w:rPr>
          <w:rFonts w:asciiTheme="majorHAnsi" w:hAnsiTheme="majorHAnsi"/>
        </w:rPr>
        <w:t>concessione del</w:t>
      </w:r>
      <w:r w:rsidR="00BA4D98">
        <w:rPr>
          <w:rFonts w:asciiTheme="majorHAnsi" w:hAnsiTheme="majorHAnsi"/>
        </w:rPr>
        <w:t xml:space="preserve">l’incentivo anche se non c’è incremento occupazionale e </w:t>
      </w:r>
      <w:r w:rsidR="00E92355">
        <w:rPr>
          <w:rFonts w:asciiTheme="majorHAnsi" w:hAnsiTheme="majorHAnsi"/>
        </w:rPr>
        <w:t xml:space="preserve">semplicemente si sostituiscono </w:t>
      </w:r>
      <w:r w:rsidR="00100B95">
        <w:rPr>
          <w:rFonts w:asciiTheme="majorHAnsi" w:hAnsiTheme="majorHAnsi"/>
        </w:rPr>
        <w:t xml:space="preserve">i </w:t>
      </w:r>
      <w:r w:rsidR="00E92355">
        <w:rPr>
          <w:rFonts w:asciiTheme="majorHAnsi" w:hAnsiTheme="majorHAnsi"/>
        </w:rPr>
        <w:t>lavoratori andati in pensione. Devono essersi accorti, come avevamo segnalato commentando</w:t>
      </w:r>
      <w:r>
        <w:rPr>
          <w:rFonts w:asciiTheme="majorHAnsi" w:hAnsiTheme="majorHAnsi"/>
        </w:rPr>
        <w:t xml:space="preserve"> la versione precedente</w:t>
      </w:r>
      <w:r w:rsidR="00E41231">
        <w:rPr>
          <w:rFonts w:asciiTheme="majorHAnsi" w:hAnsiTheme="majorHAnsi"/>
        </w:rPr>
        <w:t xml:space="preserve">, </w:t>
      </w:r>
      <w:r w:rsidR="00A5670D">
        <w:rPr>
          <w:rFonts w:asciiTheme="majorHAnsi" w:hAnsiTheme="majorHAnsi"/>
        </w:rPr>
        <w:t>che dare contributi anche per la semplice sostituzione di chi va in pensione con lavoratori che già costano meno</w:t>
      </w:r>
      <w:r w:rsidR="00E41231">
        <w:rPr>
          <w:rFonts w:asciiTheme="majorHAnsi" w:hAnsiTheme="majorHAnsi"/>
        </w:rPr>
        <w:t>,</w:t>
      </w:r>
      <w:r w:rsidR="00A5670D">
        <w:rPr>
          <w:rFonts w:asciiTheme="majorHAnsi" w:hAnsiTheme="majorHAnsi"/>
        </w:rPr>
        <w:t xml:space="preserve"> in quanto neo assunti, e già hanno meno diritti</w:t>
      </w:r>
      <w:r w:rsidR="00E41231">
        <w:rPr>
          <w:rFonts w:asciiTheme="majorHAnsi" w:hAnsiTheme="majorHAnsi"/>
        </w:rPr>
        <w:t>,</w:t>
      </w:r>
      <w:r w:rsidR="00A5670D">
        <w:rPr>
          <w:rFonts w:asciiTheme="majorHAnsi" w:hAnsiTheme="majorHAnsi"/>
        </w:rPr>
        <w:t xml:space="preserve"> dopo il Jobs Act, era davvero eccessivo! </w:t>
      </w:r>
    </w:p>
    <w:p w14:paraId="5EDF5B39" w14:textId="71D20153" w:rsidR="00100B95" w:rsidRDefault="00100B95" w:rsidP="00A06ED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Resta il fatto che, poiché con il Jobs Act si </w:t>
      </w:r>
      <w:r w:rsidR="003A4CE9">
        <w:rPr>
          <w:rFonts w:asciiTheme="majorHAnsi" w:hAnsiTheme="majorHAnsi"/>
        </w:rPr>
        <w:t>può</w:t>
      </w:r>
      <w:r w:rsidR="00E41231">
        <w:rPr>
          <w:rFonts w:asciiTheme="majorHAnsi" w:hAnsiTheme="majorHAnsi"/>
        </w:rPr>
        <w:t xml:space="preserve"> licenziare praticamente sempre</w:t>
      </w:r>
      <w:r>
        <w:rPr>
          <w:rFonts w:asciiTheme="majorHAnsi" w:hAnsiTheme="majorHAnsi"/>
        </w:rPr>
        <w:t>, senza l’obbligo della reintegra, il “reddito di cittadinanza” funzionerà</w:t>
      </w:r>
      <w:r w:rsidR="00E41231">
        <w:rPr>
          <w:rFonts w:asciiTheme="majorHAnsi" w:hAnsiTheme="majorHAnsi"/>
        </w:rPr>
        <w:t xml:space="preserve"> esattamente</w:t>
      </w:r>
      <w:r>
        <w:rPr>
          <w:rFonts w:asciiTheme="majorHAnsi" w:hAnsiTheme="majorHAnsi"/>
        </w:rPr>
        <w:t xml:space="preserve"> come ha funzionato la decontribuzione associata al contratto a tutele crescenti del Jobs Act: una volta esauriti gli sgravi, via libera ai licenziamenti! </w:t>
      </w:r>
      <w:r w:rsidR="00E41231">
        <w:rPr>
          <w:rFonts w:asciiTheme="majorHAnsi" w:hAnsiTheme="majorHAnsi"/>
        </w:rPr>
        <w:t xml:space="preserve">Con buona pace del tempo indeterminato. </w:t>
      </w:r>
    </w:p>
    <w:p w14:paraId="2842CCFC" w14:textId="6CCD4879" w:rsidR="00E25C1B" w:rsidRDefault="00E25C1B" w:rsidP="00A06ED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 si sono eliminate le norme vessatorie sui licenziamenti previste dal Jobs Act, </w:t>
      </w:r>
      <w:r w:rsidR="00E41231">
        <w:rPr>
          <w:rFonts w:asciiTheme="majorHAnsi" w:hAnsiTheme="majorHAnsi"/>
        </w:rPr>
        <w:t xml:space="preserve">reintroducendo l’articolo 18, </w:t>
      </w:r>
      <w:r>
        <w:rPr>
          <w:rFonts w:asciiTheme="majorHAnsi" w:hAnsiTheme="majorHAnsi"/>
        </w:rPr>
        <w:t xml:space="preserve">come prometteva il M5S in campagna elettorale, si è </w:t>
      </w:r>
      <w:r w:rsidR="00E41231">
        <w:rPr>
          <w:rFonts w:asciiTheme="majorHAnsi" w:hAnsiTheme="majorHAnsi"/>
        </w:rPr>
        <w:t xml:space="preserve">invece </w:t>
      </w:r>
      <w:r>
        <w:rPr>
          <w:rFonts w:asciiTheme="majorHAnsi" w:hAnsiTheme="majorHAnsi"/>
        </w:rPr>
        <w:t>trasfo</w:t>
      </w:r>
      <w:r w:rsidR="00E41231">
        <w:rPr>
          <w:rFonts w:asciiTheme="majorHAnsi" w:hAnsiTheme="majorHAnsi"/>
        </w:rPr>
        <w:t>rmato il “reddito</w:t>
      </w:r>
      <w:r>
        <w:rPr>
          <w:rFonts w:asciiTheme="majorHAnsi" w:hAnsiTheme="majorHAnsi"/>
        </w:rPr>
        <w:t xml:space="preserve"> di cittadinanza</w:t>
      </w:r>
      <w:r w:rsidR="00E41231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in</w:t>
      </w:r>
      <w:r w:rsidR="00E41231">
        <w:rPr>
          <w:rFonts w:asciiTheme="majorHAnsi" w:hAnsiTheme="majorHAnsi"/>
        </w:rPr>
        <w:t xml:space="preserve"> un ulteriore incentivo alle imprese, che produrrà altra occupazione precaria. </w:t>
      </w:r>
    </w:p>
    <w:p w14:paraId="6A910DE5" w14:textId="77777777" w:rsidR="00100B95" w:rsidRDefault="00100B95" w:rsidP="00A06ED0">
      <w:pPr>
        <w:jc w:val="both"/>
        <w:rPr>
          <w:rFonts w:asciiTheme="majorHAnsi" w:hAnsiTheme="majorHAnsi"/>
        </w:rPr>
      </w:pPr>
    </w:p>
    <w:p w14:paraId="4F14965E" w14:textId="77777777" w:rsidR="005C4A21" w:rsidRPr="005C4A21" w:rsidRDefault="005C4A21" w:rsidP="001F3F3D">
      <w:pPr>
        <w:jc w:val="center"/>
        <w:rPr>
          <w:rFonts w:asciiTheme="majorHAnsi" w:hAnsiTheme="majorHAnsi"/>
          <w:b/>
        </w:rPr>
      </w:pPr>
      <w:r w:rsidRPr="005C4A21">
        <w:rPr>
          <w:rFonts w:asciiTheme="majorHAnsi" w:hAnsiTheme="majorHAnsi"/>
          <w:b/>
        </w:rPr>
        <w:t>IN CONCLUSIONE</w:t>
      </w:r>
    </w:p>
    <w:p w14:paraId="6A4D93A9" w14:textId="6D95F245" w:rsidR="005B3BE1" w:rsidRPr="00D1566B" w:rsidRDefault="00D1566B" w:rsidP="0080130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Oltre ai limiti </w:t>
      </w:r>
      <w:r w:rsidR="001F3F3D">
        <w:rPr>
          <w:rFonts w:asciiTheme="majorHAnsi" w:hAnsiTheme="majorHAnsi"/>
          <w:b/>
        </w:rPr>
        <w:t xml:space="preserve">molto pesanti </w:t>
      </w:r>
      <w:r>
        <w:rPr>
          <w:rFonts w:asciiTheme="majorHAnsi" w:hAnsiTheme="majorHAnsi"/>
          <w:b/>
        </w:rPr>
        <w:t>di copertura della platea prima indicati, il “reddito di cittadinanza” non è un reddito di cittadinanza: i</w:t>
      </w:r>
      <w:r w:rsidR="009C7A8D" w:rsidRPr="00D1566B">
        <w:rPr>
          <w:rFonts w:asciiTheme="majorHAnsi" w:hAnsiTheme="majorHAnsi"/>
          <w:b/>
        </w:rPr>
        <w:t xml:space="preserve">l governo sovrappone </w:t>
      </w:r>
      <w:r>
        <w:rPr>
          <w:rFonts w:asciiTheme="majorHAnsi" w:hAnsiTheme="majorHAnsi"/>
          <w:b/>
        </w:rPr>
        <w:t xml:space="preserve">totalmente </w:t>
      </w:r>
      <w:r w:rsidR="005B3BE1" w:rsidRPr="00D1566B">
        <w:rPr>
          <w:rFonts w:asciiTheme="majorHAnsi" w:hAnsiTheme="majorHAnsi"/>
          <w:b/>
        </w:rPr>
        <w:t>il contrasto alla povertà</w:t>
      </w:r>
      <w:r>
        <w:rPr>
          <w:rFonts w:asciiTheme="majorHAnsi" w:hAnsiTheme="majorHAnsi"/>
          <w:b/>
        </w:rPr>
        <w:t xml:space="preserve"> con le</w:t>
      </w:r>
      <w:r w:rsidR="005B3BE1" w:rsidRPr="00D1566B">
        <w:rPr>
          <w:rFonts w:asciiTheme="majorHAnsi" w:hAnsiTheme="majorHAnsi"/>
          <w:b/>
        </w:rPr>
        <w:t xml:space="preserve"> politiche per il lavoro, e va</w:t>
      </w:r>
      <w:r w:rsidR="009C7A8D" w:rsidRPr="00D1566B">
        <w:rPr>
          <w:rFonts w:asciiTheme="majorHAnsi" w:hAnsiTheme="majorHAnsi"/>
          <w:b/>
        </w:rPr>
        <w:t>ra un provvedimento di workfare</w:t>
      </w:r>
      <w:r w:rsidR="005B3BE1" w:rsidRPr="00D1566B">
        <w:rPr>
          <w:rFonts w:asciiTheme="majorHAnsi" w:hAnsiTheme="majorHAnsi"/>
          <w:b/>
        </w:rPr>
        <w:t xml:space="preserve"> con condizionalità pesantissime e punitive. </w:t>
      </w:r>
    </w:p>
    <w:p w14:paraId="4B4D9C7D" w14:textId="62D105E1" w:rsidR="009C7A8D" w:rsidRDefault="009C7A8D" w:rsidP="00801301">
      <w:pPr>
        <w:jc w:val="both"/>
        <w:rPr>
          <w:rFonts w:asciiTheme="majorHAnsi" w:hAnsiTheme="majorHAnsi"/>
          <w:b/>
        </w:rPr>
      </w:pPr>
      <w:r w:rsidRPr="00D1566B">
        <w:rPr>
          <w:rFonts w:asciiTheme="majorHAnsi" w:hAnsiTheme="majorHAnsi"/>
          <w:b/>
        </w:rPr>
        <w:t>Nel frattempo non fa politiche per cre</w:t>
      </w:r>
      <w:r w:rsidR="00E02EC7" w:rsidRPr="00D1566B">
        <w:rPr>
          <w:rFonts w:asciiTheme="majorHAnsi" w:hAnsiTheme="majorHAnsi"/>
          <w:b/>
        </w:rPr>
        <w:t>are lavoro, per cui</w:t>
      </w:r>
      <w:r w:rsidR="006039D3">
        <w:rPr>
          <w:rFonts w:asciiTheme="majorHAnsi" w:hAnsiTheme="majorHAnsi"/>
          <w:b/>
        </w:rPr>
        <w:t>,</w:t>
      </w:r>
      <w:r w:rsidR="00E02EC7" w:rsidRPr="00D1566B">
        <w:rPr>
          <w:rFonts w:asciiTheme="majorHAnsi" w:hAnsiTheme="majorHAnsi"/>
          <w:b/>
        </w:rPr>
        <w:t xml:space="preserve"> </w:t>
      </w:r>
      <w:r w:rsidR="00D1566B">
        <w:rPr>
          <w:rFonts w:asciiTheme="majorHAnsi" w:hAnsiTheme="majorHAnsi"/>
          <w:b/>
        </w:rPr>
        <w:t xml:space="preserve">con una contraddizione macroscopica, non si riesce a comprendere da dove dovrebbero venir fuori i milioni di posti di lavoro alla cui accettazione è vincolata la concessione del reddito. </w:t>
      </w:r>
    </w:p>
    <w:p w14:paraId="63D98404" w14:textId="2D2B8CFC" w:rsidR="00801301" w:rsidRPr="00801301" w:rsidRDefault="00801301" w:rsidP="00801301">
      <w:pPr>
        <w:jc w:val="both"/>
        <w:rPr>
          <w:rFonts w:asciiTheme="majorHAnsi" w:hAnsiTheme="majorHAnsi"/>
          <w:b/>
        </w:rPr>
      </w:pPr>
      <w:r w:rsidRPr="00801301">
        <w:rPr>
          <w:rFonts w:asciiTheme="majorHAnsi" w:hAnsiTheme="majorHAnsi"/>
          <w:b/>
        </w:rPr>
        <w:t>Il “reddito di cittadinanza” è un provvedimento discriminatorio per le fa</w:t>
      </w:r>
      <w:r w:rsidR="00D1566B">
        <w:rPr>
          <w:rFonts w:asciiTheme="majorHAnsi" w:hAnsiTheme="majorHAnsi"/>
          <w:b/>
        </w:rPr>
        <w:t xml:space="preserve">miglie extra-comunitarie povere. </w:t>
      </w:r>
      <w:r>
        <w:rPr>
          <w:rFonts w:asciiTheme="majorHAnsi" w:hAnsiTheme="majorHAnsi"/>
          <w:b/>
        </w:rPr>
        <w:t>D</w:t>
      </w:r>
      <w:r w:rsidRPr="00801301">
        <w:rPr>
          <w:rFonts w:asciiTheme="majorHAnsi" w:hAnsiTheme="majorHAnsi"/>
          <w:b/>
        </w:rPr>
        <w:t xml:space="preserve">isegna una società il cui obiettivo è quello di un disciplinamento distruttivo dell’autonomia delle persone, sottoposte nello spazio domestico ad un’idea di famiglia che è sempre più comunità coattiva, mentre fuori dallo spazio domestico, opera la “disciplina del mercato”. </w:t>
      </w:r>
    </w:p>
    <w:p w14:paraId="05518B68" w14:textId="77777777" w:rsidR="00781C9E" w:rsidRDefault="00801301" w:rsidP="002B4078">
      <w:pPr>
        <w:jc w:val="both"/>
        <w:rPr>
          <w:rFonts w:asciiTheme="majorHAnsi" w:hAnsiTheme="majorHAnsi"/>
          <w:b/>
        </w:rPr>
      </w:pPr>
      <w:r w:rsidRPr="00801301">
        <w:rPr>
          <w:rFonts w:asciiTheme="majorHAnsi" w:hAnsiTheme="majorHAnsi"/>
          <w:b/>
        </w:rPr>
        <w:t xml:space="preserve">Si lavora gratuitamente per il comune, mentre si bloccano le assunzioni in una pubblica amministrazione che è sempre più ridotta ai minimi termini. Ci si deve spostare fino all’intero territorio nazionale per un lavoro la cui durata può anche essere di tre mesi. </w:t>
      </w:r>
    </w:p>
    <w:p w14:paraId="1ED36ACC" w14:textId="77D69CF3" w:rsidR="00671E5A" w:rsidRDefault="005226FF" w:rsidP="002B407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</w:t>
      </w:r>
      <w:r w:rsidR="00E02EC7">
        <w:rPr>
          <w:rFonts w:asciiTheme="majorHAnsi" w:hAnsiTheme="majorHAnsi"/>
          <w:b/>
        </w:rPr>
        <w:t xml:space="preserve"> il “reddito” alla fine non è</w:t>
      </w:r>
      <w:r>
        <w:rPr>
          <w:rFonts w:asciiTheme="majorHAnsi" w:hAnsiTheme="majorHAnsi"/>
          <w:b/>
        </w:rPr>
        <w:t xml:space="preserve"> che un’altra forma per t</w:t>
      </w:r>
      <w:r w:rsidR="00D24F61">
        <w:rPr>
          <w:rFonts w:asciiTheme="majorHAnsi" w:hAnsiTheme="majorHAnsi"/>
          <w:b/>
        </w:rPr>
        <w:t xml:space="preserve">rasferire risorse alle imprese, </w:t>
      </w:r>
      <w:r>
        <w:rPr>
          <w:rFonts w:asciiTheme="majorHAnsi" w:hAnsiTheme="majorHAnsi"/>
          <w:b/>
        </w:rPr>
        <w:t xml:space="preserve">esattamente come ha fatto la decontribuzione prevista da Renzi </w:t>
      </w:r>
      <w:r w:rsidR="00D24F61">
        <w:rPr>
          <w:rFonts w:asciiTheme="majorHAnsi" w:hAnsiTheme="majorHAnsi"/>
          <w:b/>
        </w:rPr>
        <w:t>per il cosiddetto “contratto a tutele crescenti” de</w:t>
      </w:r>
      <w:r>
        <w:rPr>
          <w:rFonts w:asciiTheme="majorHAnsi" w:hAnsiTheme="majorHAnsi"/>
          <w:b/>
        </w:rPr>
        <w:t>l Jobs Act</w:t>
      </w:r>
      <w:r w:rsidR="00D24F61">
        <w:rPr>
          <w:rFonts w:asciiTheme="majorHAnsi" w:hAnsiTheme="majorHAnsi"/>
          <w:b/>
        </w:rPr>
        <w:t xml:space="preserve">. </w:t>
      </w:r>
    </w:p>
    <w:p w14:paraId="7F500D56" w14:textId="77777777" w:rsidR="001F3F3D" w:rsidRDefault="001F3F3D" w:rsidP="002B4078">
      <w:pPr>
        <w:jc w:val="both"/>
        <w:rPr>
          <w:rFonts w:asciiTheme="majorHAnsi" w:hAnsiTheme="majorHAnsi"/>
          <w:b/>
        </w:rPr>
      </w:pPr>
    </w:p>
    <w:p w14:paraId="765B0FDA" w14:textId="77777777" w:rsidR="00D454B1" w:rsidRDefault="00D454B1" w:rsidP="002B4078">
      <w:pPr>
        <w:jc w:val="both"/>
        <w:rPr>
          <w:rFonts w:asciiTheme="majorHAnsi" w:hAnsiTheme="majorHAnsi"/>
          <w:b/>
        </w:rPr>
      </w:pPr>
    </w:p>
    <w:p w14:paraId="3D1C8E35" w14:textId="77777777" w:rsidR="001F3F3D" w:rsidRDefault="001F3F3D" w:rsidP="00D454B1">
      <w:pPr>
        <w:jc w:val="center"/>
        <w:rPr>
          <w:rFonts w:asciiTheme="majorHAnsi" w:hAnsiTheme="majorHAnsi"/>
          <w:b/>
          <w:sz w:val="26"/>
          <w:szCs w:val="26"/>
        </w:rPr>
      </w:pPr>
    </w:p>
    <w:p w14:paraId="0B886BBC" w14:textId="77777777" w:rsidR="001F3F3D" w:rsidRDefault="001F3F3D" w:rsidP="00D454B1">
      <w:pPr>
        <w:jc w:val="center"/>
        <w:rPr>
          <w:rFonts w:asciiTheme="majorHAnsi" w:hAnsiTheme="majorHAnsi"/>
          <w:b/>
          <w:sz w:val="26"/>
          <w:szCs w:val="26"/>
        </w:rPr>
      </w:pPr>
    </w:p>
    <w:p w14:paraId="0B99D508" w14:textId="77777777" w:rsidR="001F3F3D" w:rsidRDefault="001F3F3D" w:rsidP="00D454B1">
      <w:pPr>
        <w:jc w:val="center"/>
        <w:rPr>
          <w:rFonts w:asciiTheme="majorHAnsi" w:hAnsiTheme="majorHAnsi"/>
          <w:b/>
          <w:sz w:val="26"/>
          <w:szCs w:val="26"/>
        </w:rPr>
      </w:pPr>
    </w:p>
    <w:p w14:paraId="278E3D32" w14:textId="77777777" w:rsidR="001F3F3D" w:rsidRDefault="001F3F3D" w:rsidP="00D454B1">
      <w:pPr>
        <w:jc w:val="center"/>
        <w:rPr>
          <w:rFonts w:asciiTheme="majorHAnsi" w:hAnsiTheme="majorHAnsi"/>
          <w:b/>
          <w:sz w:val="26"/>
          <w:szCs w:val="26"/>
        </w:rPr>
      </w:pPr>
    </w:p>
    <w:p w14:paraId="0BE09121" w14:textId="77777777" w:rsidR="00D454B1" w:rsidRPr="001F3F3D" w:rsidRDefault="00D454B1" w:rsidP="00D454B1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1F3F3D">
        <w:rPr>
          <w:rFonts w:asciiTheme="majorHAnsi" w:hAnsiTheme="majorHAnsi"/>
          <w:b/>
          <w:color w:val="FF0000"/>
          <w:sz w:val="28"/>
          <w:szCs w:val="28"/>
        </w:rPr>
        <w:t>QUOTA 100 NON E’ L’ABROGAZIONE DELLA LEGGE FORNERO</w:t>
      </w:r>
    </w:p>
    <w:p w14:paraId="412C51B7" w14:textId="0A0AFECD" w:rsidR="00D454B1" w:rsidRPr="001F3F3D" w:rsidRDefault="001F3F3D" w:rsidP="00D454B1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1F3F3D">
        <w:rPr>
          <w:rFonts w:asciiTheme="majorHAnsi" w:hAnsiTheme="majorHAnsi"/>
          <w:b/>
          <w:color w:val="FF0000"/>
          <w:sz w:val="28"/>
          <w:szCs w:val="28"/>
        </w:rPr>
        <w:t xml:space="preserve">E NON RISOLVE NULLA </w:t>
      </w:r>
      <w:r w:rsidR="00D454B1" w:rsidRPr="001F3F3D">
        <w:rPr>
          <w:rFonts w:asciiTheme="majorHAnsi" w:hAnsiTheme="majorHAnsi"/>
          <w:b/>
          <w:color w:val="FF0000"/>
          <w:sz w:val="28"/>
          <w:szCs w:val="28"/>
        </w:rPr>
        <w:t>PER LE DONNE</w:t>
      </w:r>
      <w:r w:rsidRPr="001F3F3D">
        <w:rPr>
          <w:rFonts w:asciiTheme="majorHAnsi" w:hAnsiTheme="majorHAnsi"/>
          <w:b/>
          <w:color w:val="FF0000"/>
          <w:sz w:val="28"/>
          <w:szCs w:val="28"/>
        </w:rPr>
        <w:t xml:space="preserve"> E</w:t>
      </w:r>
      <w:r w:rsidR="00D454B1" w:rsidRPr="001F3F3D">
        <w:rPr>
          <w:rFonts w:asciiTheme="majorHAnsi" w:hAnsiTheme="majorHAnsi"/>
          <w:b/>
          <w:color w:val="FF0000"/>
          <w:sz w:val="28"/>
          <w:szCs w:val="28"/>
        </w:rPr>
        <w:t xml:space="preserve"> I LAVORATORI PRECARI</w:t>
      </w:r>
    </w:p>
    <w:p w14:paraId="5C47B232" w14:textId="77777777" w:rsidR="00D454B1" w:rsidRPr="003E07A3" w:rsidRDefault="00D454B1" w:rsidP="00D454B1">
      <w:pPr>
        <w:jc w:val="center"/>
        <w:rPr>
          <w:rFonts w:asciiTheme="majorHAnsi" w:hAnsiTheme="majorHAnsi"/>
          <w:b/>
          <w:sz w:val="16"/>
          <w:szCs w:val="16"/>
        </w:rPr>
      </w:pPr>
    </w:p>
    <w:p w14:paraId="72029985" w14:textId="77777777" w:rsidR="001F3F3D" w:rsidRPr="003E07A3" w:rsidRDefault="001F3F3D" w:rsidP="00D454B1">
      <w:pPr>
        <w:jc w:val="both"/>
        <w:rPr>
          <w:rFonts w:asciiTheme="majorHAnsi" w:hAnsiTheme="majorHAnsi"/>
          <w:b/>
          <w:sz w:val="16"/>
          <w:szCs w:val="16"/>
        </w:rPr>
      </w:pPr>
    </w:p>
    <w:p w14:paraId="1AC9192A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ASSENTE LA NONA SALVAGU</w:t>
      </w:r>
      <w:r>
        <w:rPr>
          <w:rFonts w:asciiTheme="majorHAnsi" w:hAnsiTheme="majorHAnsi"/>
          <w:b/>
        </w:rPr>
        <w:t>A</w:t>
      </w:r>
      <w:r w:rsidRPr="003E07A3">
        <w:rPr>
          <w:rFonts w:asciiTheme="majorHAnsi" w:hAnsiTheme="majorHAnsi"/>
          <w:b/>
        </w:rPr>
        <w:t>RDIA PER GLI ESODATI</w:t>
      </w:r>
    </w:p>
    <w:p w14:paraId="2FD7141C" w14:textId="449C867A" w:rsidR="00D454B1" w:rsidRPr="003E07A3" w:rsidRDefault="001F3F3D" w:rsidP="00D454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 è prevista neppure nella versione definitiva del Decreto, </w:t>
      </w:r>
      <w:r w:rsidR="00D454B1" w:rsidRPr="0031235B">
        <w:rPr>
          <w:rFonts w:asciiTheme="majorHAnsi" w:hAnsiTheme="majorHAnsi"/>
        </w:rPr>
        <w:t>la nona salvaguardia per gli esodati che avrebbe dovuto</w:t>
      </w:r>
      <w:r w:rsidR="00D454B1">
        <w:rPr>
          <w:rFonts w:asciiTheme="majorHAnsi" w:hAnsiTheme="majorHAnsi"/>
        </w:rPr>
        <w:t xml:space="preserve"> sanare la situazione</w:t>
      </w:r>
      <w:r w:rsidR="00D454B1" w:rsidRPr="003E07A3">
        <w:rPr>
          <w:rFonts w:asciiTheme="majorHAnsi" w:hAnsiTheme="majorHAnsi"/>
        </w:rPr>
        <w:t xml:space="preserve"> di circa 6mila persone, non coperte dalle salvaguardie precedenti e rispetto alla quale erano state reiterate molte promesse da parte della maggioranza. E’ un punto grave, </w:t>
      </w:r>
      <w:r>
        <w:rPr>
          <w:rFonts w:asciiTheme="majorHAnsi" w:hAnsiTheme="majorHAnsi"/>
        </w:rPr>
        <w:t xml:space="preserve">per cui si deve continuare a pretendere una soluzione. </w:t>
      </w:r>
    </w:p>
    <w:p w14:paraId="692B4452" w14:textId="77777777" w:rsidR="00D454B1" w:rsidRPr="003E07A3" w:rsidRDefault="00D454B1" w:rsidP="00D454B1">
      <w:pPr>
        <w:jc w:val="both"/>
        <w:rPr>
          <w:rFonts w:asciiTheme="majorHAnsi" w:hAnsiTheme="majorHAnsi"/>
          <w:b/>
          <w:sz w:val="16"/>
          <w:szCs w:val="16"/>
        </w:rPr>
      </w:pPr>
    </w:p>
    <w:p w14:paraId="3BE8E8F0" w14:textId="044FADCB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 xml:space="preserve">UNA MISURA </w:t>
      </w:r>
      <w:r w:rsidR="001F3F3D">
        <w:rPr>
          <w:rFonts w:asciiTheme="majorHAnsi" w:hAnsiTheme="majorHAnsi"/>
          <w:b/>
        </w:rPr>
        <w:t xml:space="preserve">UNA TANTUM? </w:t>
      </w:r>
    </w:p>
    <w:p w14:paraId="4E804407" w14:textId="2736D974" w:rsidR="00D454B1" w:rsidRPr="003E07A3" w:rsidRDefault="00D454B1" w:rsidP="001F3F3D">
      <w:pPr>
        <w:jc w:val="both"/>
        <w:rPr>
          <w:rFonts w:asciiTheme="majorHAnsi" w:hAnsiTheme="majorHAnsi"/>
        </w:rPr>
      </w:pPr>
      <w:r w:rsidRPr="0031235B">
        <w:rPr>
          <w:rFonts w:asciiTheme="majorHAnsi" w:hAnsiTheme="majorHAnsi"/>
        </w:rPr>
        <w:t>Si fissa poi il carattere “sperimentale” e non strutturale di Quota 100</w:t>
      </w:r>
      <w:r w:rsidRPr="003E07A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la cui valenza è delimitata al  triennio 2019- </w:t>
      </w:r>
      <w:r w:rsidR="001F3F3D">
        <w:rPr>
          <w:rFonts w:asciiTheme="majorHAnsi" w:hAnsiTheme="majorHAnsi"/>
        </w:rPr>
        <w:t xml:space="preserve">2021.  In realtà, come già detto, il meccanismo delle clausole di salvaguardia, sottopone l’intervento sulle pensioni </w:t>
      </w:r>
      <w:r w:rsidRPr="003E07A3">
        <w:rPr>
          <w:rFonts w:asciiTheme="majorHAnsi" w:hAnsiTheme="majorHAnsi"/>
        </w:rPr>
        <w:t>come quello sul re</w:t>
      </w:r>
      <w:r w:rsidR="001F3F3D">
        <w:rPr>
          <w:rFonts w:asciiTheme="majorHAnsi" w:hAnsiTheme="majorHAnsi"/>
        </w:rPr>
        <w:t>ddito al</w:t>
      </w:r>
      <w:r w:rsidRPr="003E07A3">
        <w:rPr>
          <w:rFonts w:asciiTheme="majorHAnsi" w:hAnsiTheme="majorHAnsi"/>
        </w:rPr>
        <w:t xml:space="preserve"> rischio  che si tratti di misure spot, determinate dalla propaganda in vista delle elezioni europee, </w:t>
      </w:r>
      <w:r w:rsidR="001F3F3D">
        <w:rPr>
          <w:rFonts w:asciiTheme="majorHAnsi" w:hAnsiTheme="majorHAnsi"/>
        </w:rPr>
        <w:t xml:space="preserve">persino </w:t>
      </w:r>
      <w:r w:rsidRPr="003E07A3">
        <w:rPr>
          <w:rFonts w:asciiTheme="majorHAnsi" w:hAnsiTheme="majorHAnsi"/>
        </w:rPr>
        <w:t xml:space="preserve">maggiore della sperimentalità triennale. </w:t>
      </w:r>
    </w:p>
    <w:p w14:paraId="29BE9896" w14:textId="77777777" w:rsidR="00D454B1" w:rsidRPr="003E07A3" w:rsidRDefault="00D454B1" w:rsidP="00D454B1">
      <w:pPr>
        <w:jc w:val="both"/>
        <w:rPr>
          <w:rFonts w:asciiTheme="majorHAnsi" w:hAnsiTheme="majorHAnsi"/>
          <w:sz w:val="16"/>
          <w:szCs w:val="16"/>
        </w:rPr>
      </w:pPr>
    </w:p>
    <w:p w14:paraId="0FF07661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QUOTA 100 NON E’ QUOTA 100</w:t>
      </w:r>
    </w:p>
    <w:p w14:paraId="16FA3072" w14:textId="79AC644F" w:rsidR="00D454B1" w:rsidRPr="003E07A3" w:rsidRDefault="00D454B1" w:rsidP="00D454B1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Si fissano poi i due requisiti:  almeno 62 anni di età e almeno 38 di contributi, che devono essere rispettati entrambi. Quota 100 non è dunque Quota 100: non si può accedere alla pensione ad esempio con 37 di contributi</w:t>
      </w:r>
      <w:r>
        <w:rPr>
          <w:rFonts w:asciiTheme="majorHAnsi" w:hAnsiTheme="majorHAnsi"/>
        </w:rPr>
        <w:t xml:space="preserve"> e 63 di età</w:t>
      </w:r>
      <w:r w:rsidRPr="003E07A3">
        <w:rPr>
          <w:rFonts w:asciiTheme="majorHAnsi" w:hAnsiTheme="majorHAnsi"/>
        </w:rPr>
        <w:t>, per il doppio p</w:t>
      </w:r>
      <w:r>
        <w:rPr>
          <w:rFonts w:asciiTheme="majorHAnsi" w:hAnsiTheme="majorHAnsi"/>
        </w:rPr>
        <w:t xml:space="preserve">aletto. </w:t>
      </w:r>
    </w:p>
    <w:p w14:paraId="17214AA7" w14:textId="77777777" w:rsidR="00D454B1" w:rsidRPr="003E07A3" w:rsidRDefault="00D454B1" w:rsidP="00D454B1">
      <w:pPr>
        <w:jc w:val="both"/>
        <w:rPr>
          <w:rFonts w:asciiTheme="majorHAnsi" w:hAnsiTheme="majorHAnsi"/>
          <w:sz w:val="16"/>
          <w:szCs w:val="16"/>
        </w:rPr>
      </w:pPr>
    </w:p>
    <w:p w14:paraId="733995D9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 w:rsidRPr="001F3F3D">
        <w:rPr>
          <w:rFonts w:asciiTheme="majorHAnsi" w:hAnsiTheme="majorHAnsi"/>
          <w:b/>
        </w:rPr>
        <w:t>L’ASPETTATIVA DI VITA</w:t>
      </w:r>
    </w:p>
    <w:p w14:paraId="033693FB" w14:textId="0E902CA3" w:rsidR="00D454B1" w:rsidRDefault="00D454B1" w:rsidP="00D454B1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 xml:space="preserve">L’adeguamento all’aspettativa di vita resta </w:t>
      </w:r>
      <w:r w:rsidRPr="001F3F3D">
        <w:rPr>
          <w:rFonts w:asciiTheme="majorHAnsi" w:hAnsiTheme="majorHAnsi"/>
        </w:rPr>
        <w:t>come meccanismo generale per il requisito anagrafico della</w:t>
      </w:r>
      <w:r>
        <w:rPr>
          <w:rFonts w:asciiTheme="majorHAnsi" w:hAnsiTheme="majorHAnsi"/>
        </w:rPr>
        <w:t xml:space="preserve"> pensione di vecchiaia: a gennaio 2019 si passa quindi da 66 anni e 7 mesi a 67 anni, e resta la previsione di ulteriori futuri aumenti.   </w:t>
      </w:r>
    </w:p>
    <w:p w14:paraId="1D3A2379" w14:textId="03F8552C" w:rsidR="00900B67" w:rsidRDefault="00D454B1" w:rsidP="00900B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L’adeguamento viene </w:t>
      </w:r>
      <w:r w:rsidRPr="003E07A3">
        <w:rPr>
          <w:rFonts w:asciiTheme="majorHAnsi" w:hAnsiTheme="majorHAnsi"/>
        </w:rPr>
        <w:t xml:space="preserve">cancellato </w:t>
      </w:r>
      <w:r w:rsidRPr="00900B67">
        <w:rPr>
          <w:rFonts w:asciiTheme="majorHAnsi" w:hAnsiTheme="majorHAnsi"/>
        </w:rPr>
        <w:t>invece</w:t>
      </w:r>
      <w:r>
        <w:rPr>
          <w:rFonts w:asciiTheme="majorHAnsi" w:hAnsiTheme="majorHAnsi"/>
        </w:rPr>
        <w:t xml:space="preserve"> </w:t>
      </w:r>
      <w:r w:rsidRPr="003E07A3">
        <w:rPr>
          <w:rFonts w:asciiTheme="majorHAnsi" w:hAnsiTheme="majorHAnsi"/>
        </w:rPr>
        <w:t>per il requisito contributivo relativo al cosiddetto accesso al pensionamento anticipato indipendente dall’età. In sostanza si blocca a</w:t>
      </w:r>
      <w:r>
        <w:rPr>
          <w:rFonts w:asciiTheme="majorHAnsi" w:hAnsiTheme="majorHAnsi"/>
        </w:rPr>
        <w:t>i requisiti esistenti nel 2018 (</w:t>
      </w:r>
      <w:r w:rsidRPr="003E07A3">
        <w:rPr>
          <w:rFonts w:asciiTheme="majorHAnsi" w:hAnsiTheme="majorHAnsi"/>
        </w:rPr>
        <w:t xml:space="preserve"> 42 anni e 10 mesi per gli uomini e </w:t>
      </w:r>
      <w:r>
        <w:rPr>
          <w:rFonts w:asciiTheme="majorHAnsi" w:hAnsiTheme="majorHAnsi"/>
        </w:rPr>
        <w:t>41 anni e 10 mesi per le donne )</w:t>
      </w:r>
      <w:r w:rsidRPr="003E07A3">
        <w:rPr>
          <w:rFonts w:asciiTheme="majorHAnsi" w:hAnsiTheme="majorHAnsi"/>
        </w:rPr>
        <w:t xml:space="preserve"> l’anzianità contributiva necessaria per </w:t>
      </w:r>
      <w:r>
        <w:rPr>
          <w:rFonts w:asciiTheme="majorHAnsi" w:hAnsiTheme="majorHAnsi"/>
        </w:rPr>
        <w:t xml:space="preserve">la </w:t>
      </w:r>
      <w:r w:rsidRPr="003E07A3">
        <w:rPr>
          <w:rFonts w:asciiTheme="majorHAnsi" w:hAnsiTheme="majorHAnsi"/>
        </w:rPr>
        <w:t>pensione anticipata</w:t>
      </w:r>
      <w:r>
        <w:rPr>
          <w:rFonts w:asciiTheme="majorHAnsi" w:hAnsiTheme="majorHAnsi"/>
        </w:rPr>
        <w:t>. Vengono in</w:t>
      </w:r>
      <w:r w:rsidR="00900B67">
        <w:rPr>
          <w:rFonts w:asciiTheme="majorHAnsi" w:hAnsiTheme="majorHAnsi"/>
        </w:rPr>
        <w:t xml:space="preserve">oltre esclusi dagli incrementi </w:t>
      </w:r>
      <w:r w:rsidRPr="003E07A3">
        <w:rPr>
          <w:rFonts w:asciiTheme="majorHAnsi" w:hAnsiTheme="majorHAnsi"/>
        </w:rPr>
        <w:t xml:space="preserve">i lavoratori precoci (coloro i quali hanno svolto almeno un anno di lavoro prima dei 19 anni) </w:t>
      </w:r>
      <w:r>
        <w:rPr>
          <w:rFonts w:asciiTheme="majorHAnsi" w:hAnsiTheme="majorHAnsi"/>
        </w:rPr>
        <w:t>equiparati in questo modo al</w:t>
      </w:r>
      <w:r w:rsidRPr="003E07A3">
        <w:rPr>
          <w:rFonts w:asciiTheme="majorHAnsi" w:hAnsiTheme="majorHAnsi"/>
        </w:rPr>
        <w:t xml:space="preserve">le 15 categorie </w:t>
      </w:r>
      <w:r>
        <w:rPr>
          <w:rFonts w:asciiTheme="majorHAnsi" w:hAnsiTheme="majorHAnsi"/>
        </w:rPr>
        <w:t>di lavori usuranti e gravosi, definite dalla legge  205/2017 (</w:t>
      </w:r>
      <w:r w:rsidRPr="003E07A3">
        <w:rPr>
          <w:rFonts w:asciiTheme="majorHAnsi" w:hAnsiTheme="majorHAnsi"/>
        </w:rPr>
        <w:t xml:space="preserve">che usufruiscono delle agevolazioni se hanno almeno 30 anni di contributi ed hanno svolto quell’attività per almeno 7 anni negli ultimi 10).  </w:t>
      </w:r>
    </w:p>
    <w:p w14:paraId="5FD7B842" w14:textId="1EF9511B" w:rsidR="00D454B1" w:rsidRPr="003E07A3" w:rsidRDefault="00D454B1" w:rsidP="00D454B1">
      <w:pPr>
        <w:jc w:val="both"/>
        <w:rPr>
          <w:rFonts w:asciiTheme="majorHAnsi" w:hAnsiTheme="majorHAnsi"/>
        </w:rPr>
      </w:pPr>
    </w:p>
    <w:p w14:paraId="71C49F08" w14:textId="77777777" w:rsidR="00D454B1" w:rsidRPr="003E07A3" w:rsidRDefault="00D454B1" w:rsidP="00D454B1">
      <w:pPr>
        <w:jc w:val="both"/>
        <w:rPr>
          <w:rFonts w:asciiTheme="majorHAnsi" w:hAnsiTheme="majorHAnsi"/>
          <w:sz w:val="16"/>
          <w:szCs w:val="16"/>
        </w:rPr>
      </w:pPr>
    </w:p>
    <w:p w14:paraId="7B24F78E" w14:textId="77777777" w:rsidR="00900B67" w:rsidRDefault="00D454B1" w:rsidP="00900B67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  <w:b/>
        </w:rPr>
        <w:t>LE FINESTRE. PUBBLICI E PRIVATI</w:t>
      </w:r>
      <w:r w:rsidR="00900B67" w:rsidRPr="00900B67">
        <w:rPr>
          <w:rFonts w:asciiTheme="majorHAnsi" w:hAnsiTheme="majorHAnsi"/>
        </w:rPr>
        <w:t xml:space="preserve"> </w:t>
      </w:r>
    </w:p>
    <w:p w14:paraId="513EE90E" w14:textId="1F150480" w:rsidR="00900B67" w:rsidRDefault="00900B67" w:rsidP="00900B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Vengono reintrodotte le finestre, cioè i</w:t>
      </w:r>
      <w:r w:rsidRPr="003E07A3">
        <w:rPr>
          <w:rFonts w:asciiTheme="majorHAnsi" w:hAnsiTheme="majorHAnsi"/>
        </w:rPr>
        <w:t>l periodo che intercorre tra la maturazione dei requisiti e il diritto</w:t>
      </w:r>
      <w:r>
        <w:rPr>
          <w:rFonts w:asciiTheme="majorHAnsi" w:hAnsiTheme="majorHAnsi"/>
        </w:rPr>
        <w:t xml:space="preserve"> alla decorrenza della pensione. La loro reintroduzione depotenzia l’eliminazione dell</w:t>
      </w:r>
      <w:r w:rsidR="0010007B">
        <w:rPr>
          <w:rFonts w:asciiTheme="majorHAnsi" w:hAnsiTheme="majorHAnsi"/>
        </w:rPr>
        <w:t xml:space="preserve">’aumento legato all’aspettativa di vita per le pensioni anticipate, portando lo “sconto” rispetto alla situazione preesistente a 2 mesi. </w:t>
      </w:r>
    </w:p>
    <w:p w14:paraId="1F15EBB2" w14:textId="4773780A" w:rsidR="00D454B1" w:rsidRPr="003E07A3" w:rsidRDefault="00900B67" w:rsidP="00D454B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Le finestre sono trimestrali per i lavoratori dipendenti del settore privato e semestrali per quelli del settore pubblico. </w:t>
      </w:r>
    </w:p>
    <w:p w14:paraId="3F6DF60E" w14:textId="77777777" w:rsidR="00D454B1" w:rsidRPr="003E07A3" w:rsidRDefault="00D454B1" w:rsidP="00D454B1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 xml:space="preserve">La motivazione addotta per la differenziazione tra pubblici e privati, riguarda la necessità di garantire i servizi essenziali: in palese contrasto con il nuovo blocco delle assunzioni nel pubblico fino a novembre 2019 stabilito dalla manovra. </w:t>
      </w:r>
    </w:p>
    <w:p w14:paraId="2F728F45" w14:textId="1505229A" w:rsidR="00D454B1" w:rsidRPr="003E07A3" w:rsidRDefault="00D454B1" w:rsidP="00D454B1">
      <w:pPr>
        <w:jc w:val="both"/>
        <w:rPr>
          <w:rFonts w:asciiTheme="majorHAnsi" w:hAnsiTheme="majorHAnsi"/>
          <w:sz w:val="16"/>
          <w:szCs w:val="16"/>
        </w:rPr>
      </w:pPr>
      <w:r w:rsidRPr="003E07A3">
        <w:rPr>
          <w:rFonts w:asciiTheme="majorHAnsi" w:hAnsiTheme="majorHAnsi"/>
        </w:rPr>
        <w:t xml:space="preserve">I dipendenti pubblici sono penalizzati anche </w:t>
      </w:r>
      <w:r w:rsidR="0010007B">
        <w:rPr>
          <w:rFonts w:asciiTheme="majorHAnsi" w:hAnsiTheme="majorHAnsi"/>
        </w:rPr>
        <w:t>dal rinvio del pagamento del TFS</w:t>
      </w:r>
      <w:r w:rsidRPr="003E07A3">
        <w:rPr>
          <w:rFonts w:asciiTheme="majorHAnsi" w:hAnsiTheme="majorHAnsi"/>
        </w:rPr>
        <w:t xml:space="preserve"> che viene posticipato alla data in cui la lavoratrice o il lavoratore sarebbe andato in pensione sen</w:t>
      </w:r>
      <w:r>
        <w:rPr>
          <w:rFonts w:asciiTheme="majorHAnsi" w:hAnsiTheme="majorHAnsi"/>
        </w:rPr>
        <w:t xml:space="preserve">za quota 100, anche di </w:t>
      </w:r>
      <w:r w:rsidR="006039D3">
        <w:rPr>
          <w:rFonts w:asciiTheme="majorHAnsi" w:hAnsiTheme="majorHAnsi"/>
        </w:rPr>
        <w:t>6</w:t>
      </w:r>
      <w:r w:rsidRPr="003E07A3">
        <w:rPr>
          <w:rFonts w:asciiTheme="majorHAnsi" w:hAnsiTheme="majorHAnsi"/>
        </w:rPr>
        <w:t xml:space="preserve"> anni. </w:t>
      </w:r>
      <w:r w:rsidR="0010007B">
        <w:rPr>
          <w:rFonts w:asciiTheme="majorHAnsi" w:hAnsiTheme="majorHAnsi"/>
        </w:rPr>
        <w:t xml:space="preserve">Il testo finale fa </w:t>
      </w:r>
      <w:r w:rsidRPr="003E07A3">
        <w:rPr>
          <w:rFonts w:asciiTheme="majorHAnsi" w:hAnsiTheme="majorHAnsi"/>
        </w:rPr>
        <w:t>riferimento a convenzioni con le banche per l</w:t>
      </w:r>
      <w:r w:rsidR="0010007B">
        <w:rPr>
          <w:rFonts w:asciiTheme="majorHAnsi" w:hAnsiTheme="majorHAnsi"/>
        </w:rPr>
        <w:t xml:space="preserve">’erogazione anticipata del TFS, con gli interessi pagati dall’Inps e trattenuti dall’importo dell’indennità di fine servizio, quindi a carico del lavoratore. </w:t>
      </w:r>
    </w:p>
    <w:p w14:paraId="47D2FFEE" w14:textId="77777777" w:rsidR="0010007B" w:rsidRDefault="0010007B" w:rsidP="00D454B1">
      <w:pPr>
        <w:jc w:val="both"/>
        <w:rPr>
          <w:rFonts w:asciiTheme="majorHAnsi" w:hAnsiTheme="majorHAnsi"/>
          <w:b/>
        </w:rPr>
      </w:pPr>
    </w:p>
    <w:p w14:paraId="58EF08EE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PROROGA DI </w:t>
      </w:r>
      <w:r w:rsidRPr="003E07A3">
        <w:rPr>
          <w:rFonts w:asciiTheme="majorHAnsi" w:hAnsiTheme="majorHAnsi"/>
          <w:b/>
        </w:rPr>
        <w:t>APE SOCIALE</w:t>
      </w:r>
    </w:p>
    <w:p w14:paraId="65367B82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 xml:space="preserve">Viene prorogata di un anno l’Ape Social ricalcando i termini con i quali è stata istituita. Come è noto l’AS ha previsto </w:t>
      </w:r>
      <w:r w:rsidRPr="003E07A3">
        <w:rPr>
          <w:rFonts w:asciiTheme="majorHAnsi" w:hAnsiTheme="majorHAnsi" w:cs="Calibri"/>
        </w:rPr>
        <w:t>la possibilità per le persone che abbiano compiuto 63 anni di andare in pensione se in una delle seguenti condizioni: disoccupati che abbiano concluso l’indennità di disoccupazione da tre mesi, con almeno 30 anni di contributi; lavoratori che assistano familiari conviventi di 1°grado con disabilità grave da almeno 6 mesi e con almeno 30 anni di contributi; lavoratori con invalidità uguale o superiore al 74% con almeno 30 anni di contributi; lavoratori che svolgano un lavoro particolarmente gravoso o l’abbiano svolto per 6 anni negli ultimi 7 con 36 anni di contributi. Sono requisiti strettissimi e interpretati restrittivamente</w:t>
      </w:r>
      <w:r>
        <w:rPr>
          <w:rFonts w:asciiTheme="majorHAnsi" w:hAnsiTheme="majorHAnsi" w:cs="Calibri"/>
        </w:rPr>
        <w:t>,</w:t>
      </w:r>
      <w:r w:rsidRPr="003E07A3">
        <w:rPr>
          <w:rFonts w:asciiTheme="majorHAnsi" w:hAnsiTheme="majorHAnsi" w:cs="Calibri"/>
        </w:rPr>
        <w:t xml:space="preserve"> in particolare per quel che riguarda le lavoratrici e i lavoratori disoccupati. Il che ha comportato - secondo i dati Inps del novembre 2018 - l’accoglimento di poco più di 33mila domane su un totale di oltre 87mila</w:t>
      </w:r>
      <w:r>
        <w:rPr>
          <w:rFonts w:asciiTheme="majorHAnsi" w:hAnsiTheme="majorHAnsi" w:cs="Calibri"/>
        </w:rPr>
        <w:t xml:space="preserve"> (il 38%)</w:t>
      </w:r>
      <w:r w:rsidRPr="003E07A3">
        <w:rPr>
          <w:rFonts w:asciiTheme="majorHAnsi" w:hAnsiTheme="majorHAnsi" w:cs="Calibri"/>
        </w:rPr>
        <w:t>, tra novembre 2017 e luglio 2018</w:t>
      </w:r>
      <w:r>
        <w:rPr>
          <w:rFonts w:asciiTheme="majorHAnsi" w:hAnsiTheme="majorHAnsi" w:cs="Calibri"/>
        </w:rPr>
        <w:t>.</w:t>
      </w:r>
      <w:r w:rsidRPr="003E07A3">
        <w:rPr>
          <w:rFonts w:asciiTheme="majorHAnsi" w:hAnsiTheme="majorHAnsi" w:cs="Calibri"/>
        </w:rPr>
        <w:t xml:space="preserve"> </w:t>
      </w:r>
    </w:p>
    <w:p w14:paraId="762D1D63" w14:textId="77777777" w:rsidR="00D454B1" w:rsidRPr="003E07A3" w:rsidRDefault="00D454B1" w:rsidP="00D454B1">
      <w:pPr>
        <w:jc w:val="both"/>
        <w:rPr>
          <w:rFonts w:asciiTheme="majorHAnsi" w:hAnsiTheme="majorHAnsi"/>
          <w:sz w:val="16"/>
          <w:szCs w:val="16"/>
        </w:rPr>
      </w:pPr>
    </w:p>
    <w:p w14:paraId="3BCD6623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PROROGA DI </w:t>
      </w:r>
      <w:r w:rsidRPr="003E07A3">
        <w:rPr>
          <w:rFonts w:asciiTheme="majorHAnsi" w:hAnsiTheme="majorHAnsi"/>
          <w:b/>
        </w:rPr>
        <w:t>OPZIONE DONNA</w:t>
      </w:r>
    </w:p>
    <w:p w14:paraId="51D41A44" w14:textId="6F57E2F3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3E07A3">
        <w:rPr>
          <w:rFonts w:asciiTheme="majorHAnsi" w:hAnsiTheme="majorHAnsi" w:cs="Times New Roman"/>
        </w:rPr>
        <w:t>Nella decreto è prevista anche la proroga di Opzione donna, con la possibilità di accedere alla pension</w:t>
      </w:r>
      <w:r w:rsidR="006039D3">
        <w:rPr>
          <w:rFonts w:asciiTheme="majorHAnsi" w:hAnsiTheme="majorHAnsi" w:cs="Times New Roman"/>
        </w:rPr>
        <w:t xml:space="preserve">e per le lavoratrici dipendenti che entro il 31 dicembre 2018 abbiano maturato </w:t>
      </w:r>
      <w:r w:rsidRPr="003E07A3">
        <w:rPr>
          <w:rFonts w:asciiTheme="majorHAnsi" w:hAnsiTheme="majorHAnsi" w:cs="Times New Roman"/>
        </w:rPr>
        <w:t xml:space="preserve">almeno 35 anni di contributi </w:t>
      </w:r>
      <w:r w:rsidR="006039D3">
        <w:rPr>
          <w:rFonts w:asciiTheme="majorHAnsi" w:hAnsiTheme="majorHAnsi" w:cs="Times New Roman"/>
        </w:rPr>
        <w:t xml:space="preserve">ed abbiano almeno 58 anni di età se lavoratrici dipendenti e almeno 59 se autonome. </w:t>
      </w:r>
      <w:r w:rsidRPr="003E07A3">
        <w:rPr>
          <w:rFonts w:asciiTheme="majorHAnsi" w:hAnsiTheme="majorHAnsi" w:cs="Times New Roman"/>
        </w:rPr>
        <w:t xml:space="preserve">Opzione donna comporta come è noto il ricalcolo complessivo della pensione con il sistema contributivo, con una decurtazione media del 30%. Le finestre inoltre in questo caso continuano ad essere di 12 mesi per le lavoratrici dipendenti e 18 mesi per le lavoratrici autonome. </w:t>
      </w:r>
    </w:p>
    <w:p w14:paraId="51007C77" w14:textId="77777777" w:rsidR="00D454B1" w:rsidRPr="00707F81" w:rsidRDefault="00D454B1" w:rsidP="00D454B1">
      <w:pPr>
        <w:rPr>
          <w:rFonts w:asciiTheme="majorHAnsi" w:hAnsiTheme="majorHAnsi"/>
          <w:b/>
          <w:sz w:val="16"/>
          <w:szCs w:val="16"/>
        </w:rPr>
      </w:pPr>
      <w:r w:rsidRPr="00707F81">
        <w:rPr>
          <w:rFonts w:asciiTheme="majorHAnsi" w:hAnsiTheme="majorHAnsi" w:cs="Times New Roman"/>
          <w:sz w:val="16"/>
          <w:szCs w:val="16"/>
        </w:rPr>
        <w:br/>
      </w:r>
    </w:p>
    <w:p w14:paraId="1AB3D24D" w14:textId="77777777" w:rsidR="00D454B1" w:rsidRDefault="00D454B1" w:rsidP="00D454B1">
      <w:pPr>
        <w:jc w:val="center"/>
        <w:rPr>
          <w:rFonts w:asciiTheme="majorHAnsi" w:hAnsiTheme="majorHAnsi"/>
          <w:b/>
        </w:rPr>
      </w:pPr>
      <w:r w:rsidRPr="003E07A3">
        <w:rPr>
          <w:rFonts w:asciiTheme="majorHAnsi" w:hAnsiTheme="majorHAnsi"/>
          <w:b/>
        </w:rPr>
        <w:t>IN SINTESI</w:t>
      </w:r>
    </w:p>
    <w:p w14:paraId="7F978B1E" w14:textId="77777777" w:rsidR="00D454B1" w:rsidRPr="00707F81" w:rsidRDefault="00D454B1" w:rsidP="00D454B1">
      <w:pPr>
        <w:jc w:val="both"/>
        <w:rPr>
          <w:rFonts w:asciiTheme="majorHAnsi" w:hAnsiTheme="majorHAnsi"/>
        </w:rPr>
      </w:pPr>
      <w:r w:rsidRPr="00707F81">
        <w:rPr>
          <w:rFonts w:asciiTheme="majorHAnsi" w:hAnsiTheme="majorHAnsi"/>
        </w:rPr>
        <w:t xml:space="preserve">Quota 100, come il “reddito di cittadinanza” sono </w:t>
      </w:r>
      <w:r>
        <w:rPr>
          <w:rFonts w:asciiTheme="majorHAnsi" w:hAnsiTheme="majorHAnsi"/>
        </w:rPr>
        <w:t xml:space="preserve">sottoposte al rischio molto concreto di interventi peggiorativi, passate le elezioni europee, per la pesantezza delle clausole di salvaguardia che condizionano tutta la manovra del governo. </w:t>
      </w:r>
    </w:p>
    <w:p w14:paraId="73C0F21C" w14:textId="77777777" w:rsidR="00D454B1" w:rsidRDefault="00D454B1" w:rsidP="00D454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Nel merito, è</w:t>
      </w:r>
      <w:r w:rsidRPr="003E07A3">
        <w:rPr>
          <w:rFonts w:asciiTheme="majorHAnsi" w:hAnsiTheme="majorHAnsi"/>
        </w:rPr>
        <w:t xml:space="preserve"> migliorativa rispetto alla disastrosa situazione esistente, conseguente alla Legge Fornero  - per la cui abrogazione, lo ricordiamo,  Rifondazione Comunista promosse un referendum nel 2012 purtroppo vanificato dallo scioglimento anticipato delle camere –</w:t>
      </w:r>
      <w:r>
        <w:rPr>
          <w:rFonts w:asciiTheme="majorHAnsi" w:hAnsiTheme="majorHAnsi"/>
        </w:rPr>
        <w:t xml:space="preserve"> ma ha carattere triennale e </w:t>
      </w:r>
      <w:r w:rsidRPr="003E07A3">
        <w:rPr>
          <w:rFonts w:asciiTheme="majorHAnsi" w:hAnsiTheme="majorHAnsi"/>
        </w:rPr>
        <w:t xml:space="preserve">non </w:t>
      </w:r>
      <w:r>
        <w:rPr>
          <w:rFonts w:asciiTheme="majorHAnsi" w:hAnsiTheme="majorHAnsi"/>
        </w:rPr>
        <w:t xml:space="preserve">rappresenta </w:t>
      </w:r>
      <w:r w:rsidRPr="003E07A3">
        <w:rPr>
          <w:rFonts w:asciiTheme="majorHAnsi" w:hAnsiTheme="majorHAnsi"/>
        </w:rPr>
        <w:t xml:space="preserve">in nessun modo né la cancellazione </w:t>
      </w:r>
      <w:r>
        <w:rPr>
          <w:rFonts w:asciiTheme="majorHAnsi" w:hAnsiTheme="majorHAnsi"/>
        </w:rPr>
        <w:t>promessa in campagna elettorale della Fornero,</w:t>
      </w:r>
      <w:r w:rsidRPr="003E07A3">
        <w:rPr>
          <w:rFonts w:asciiTheme="majorHAnsi" w:hAnsiTheme="majorHAnsi"/>
        </w:rPr>
        <w:t xml:space="preserve"> né una riforma organica, come testimonia il permanere di diverse misure, tutte in regime sperimentale (Quota 100, Ape Sociale, Opzione Donna…). </w:t>
      </w:r>
    </w:p>
    <w:p w14:paraId="4C1511E2" w14:textId="77777777" w:rsidR="00D454B1" w:rsidRDefault="00D454B1" w:rsidP="00D454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 accederanno un numero di lavoratori significativamente inferiore alla platea potenziale, anche per la riduzione della pensione conseguente ai minori anni di contribuzione. </w:t>
      </w:r>
    </w:p>
    <w:p w14:paraId="5F5BF2BA" w14:textId="77777777" w:rsidR="00D454B1" w:rsidRPr="003E07A3" w:rsidRDefault="00D454B1" w:rsidP="00D454B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L’adeguamento all’aspettativa di vita resta per la pensione di vecchiaia, e non è parametrato alle diverse condizioni di lavoro e di stress da lavoro, non risolte dalle limitate eccezioni previste.</w:t>
      </w:r>
    </w:p>
    <w:p w14:paraId="657BAB6D" w14:textId="77777777" w:rsidR="00D454B1" w:rsidRPr="003E07A3" w:rsidRDefault="00D454B1" w:rsidP="00D454B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 è in nessun modo risolutiva in particolare per le donne, le più colpite dalla controriforma del 2011, che c</w:t>
      </w:r>
      <w:r w:rsidRPr="003E07A3">
        <w:rPr>
          <w:rFonts w:asciiTheme="majorHAnsi" w:hAnsiTheme="majorHAnsi"/>
          <w:b/>
        </w:rPr>
        <w:t>ontinuano ad essere gravemente penalizzate</w:t>
      </w:r>
      <w:r>
        <w:rPr>
          <w:rFonts w:asciiTheme="majorHAnsi" w:hAnsiTheme="majorHAnsi"/>
          <w:b/>
        </w:rPr>
        <w:t>, e che anticipano le future (e più gravi) penalizzazioni dei giovani lavoratori e delle giovani lavoratrici precarie.</w:t>
      </w:r>
    </w:p>
    <w:p w14:paraId="546C56FA" w14:textId="77777777" w:rsidR="00D454B1" w:rsidRPr="003E07A3" w:rsidRDefault="00D454B1" w:rsidP="00D454B1">
      <w:pPr>
        <w:jc w:val="both"/>
        <w:rPr>
          <w:rFonts w:asciiTheme="majorHAnsi" w:hAnsiTheme="majorHAnsi"/>
        </w:rPr>
      </w:pPr>
      <w:r w:rsidRPr="003E07A3">
        <w:rPr>
          <w:rFonts w:asciiTheme="majorHAnsi" w:hAnsiTheme="majorHAnsi"/>
        </w:rPr>
        <w:t>Il perdurante sessismo di una società che scaric</w:t>
      </w:r>
      <w:r>
        <w:rPr>
          <w:rFonts w:asciiTheme="majorHAnsi" w:hAnsiTheme="majorHAnsi"/>
        </w:rPr>
        <w:t>a</w:t>
      </w:r>
      <w:r w:rsidRPr="003E07A3">
        <w:rPr>
          <w:rFonts w:asciiTheme="majorHAnsi" w:hAnsiTheme="majorHAnsi"/>
        </w:rPr>
        <w:t xml:space="preserve"> sulle donne il lavoro domestico e di cura (5 ore e 13 minuti in media al giorno contro 1 ora e 50 degli uomini: 3 volte tanto</w:t>
      </w:r>
      <w:r w:rsidRPr="003E07A3">
        <w:rPr>
          <w:rStyle w:val="Rimandonotaapidipagina"/>
          <w:rFonts w:asciiTheme="majorHAnsi" w:hAnsiTheme="majorHAnsi"/>
        </w:rPr>
        <w:footnoteReference w:id="1"/>
      </w:r>
      <w:r w:rsidRPr="003E07A3">
        <w:rPr>
          <w:rFonts w:asciiTheme="majorHAnsi" w:hAnsiTheme="majorHAnsi"/>
        </w:rPr>
        <w:t xml:space="preserve">),  e insieme le </w:t>
      </w:r>
      <w:r>
        <w:rPr>
          <w:rFonts w:asciiTheme="majorHAnsi" w:hAnsiTheme="majorHAnsi"/>
        </w:rPr>
        <w:t xml:space="preserve">discrimina </w:t>
      </w:r>
      <w:r w:rsidRPr="003E07A3">
        <w:rPr>
          <w:rFonts w:asciiTheme="majorHAnsi" w:hAnsiTheme="majorHAnsi"/>
        </w:rPr>
        <w:t xml:space="preserve">nei riconoscimenti sociali, fa sì che le donne </w:t>
      </w:r>
      <w:r>
        <w:rPr>
          <w:rFonts w:asciiTheme="majorHAnsi" w:hAnsiTheme="majorHAnsi"/>
        </w:rPr>
        <w:t xml:space="preserve">abbiamo carriere lavorative </w:t>
      </w:r>
      <w:r w:rsidRPr="003E07A3">
        <w:rPr>
          <w:rFonts w:asciiTheme="majorHAnsi" w:hAnsiTheme="majorHAnsi"/>
        </w:rPr>
        <w:t>discontinue, subiscano il part-time imposto assai più degli uomini (1milione e 851mila donne contro 851mila uomini</w:t>
      </w:r>
      <w:r w:rsidRPr="003E07A3">
        <w:rPr>
          <w:rStyle w:val="Rimandonotaapidipagina"/>
          <w:rFonts w:asciiTheme="majorHAnsi" w:hAnsiTheme="majorHAnsi"/>
        </w:rPr>
        <w:footnoteReference w:id="2"/>
      </w:r>
      <w:r w:rsidRPr="003E07A3">
        <w:rPr>
          <w:rFonts w:asciiTheme="majorHAnsi" w:hAnsiTheme="majorHAnsi"/>
        </w:rPr>
        <w:t xml:space="preserve">), subiscano perduranti penalizzazioni salariali. </w:t>
      </w:r>
    </w:p>
    <w:p w14:paraId="5B51A19D" w14:textId="19AA64F0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/>
        </w:rPr>
        <w:t xml:space="preserve">Nel 2011, prima dell’approvazione della Legge Fornero, le donne con 35 anni di contributi erano </w:t>
      </w:r>
      <w:r w:rsidRPr="003E07A3">
        <w:rPr>
          <w:rFonts w:asciiTheme="majorHAnsi" w:hAnsiTheme="majorHAnsi" w:cs="Calibri"/>
        </w:rPr>
        <w:t>solo il 20,6% sul totale femminile, contro il 70,6% degli uomini sul totale maschile</w:t>
      </w:r>
      <w:r>
        <w:rPr>
          <w:rStyle w:val="Rimandonotaapidipagina"/>
          <w:rFonts w:asciiTheme="majorHAnsi" w:hAnsiTheme="majorHAnsi" w:cs="Calibri"/>
        </w:rPr>
        <w:footnoteReference w:id="3"/>
      </w:r>
      <w:r>
        <w:rPr>
          <w:rFonts w:asciiTheme="majorHAnsi" w:hAnsiTheme="majorHAnsi" w:cs="Calibri"/>
        </w:rPr>
        <w:t xml:space="preserve"> </w:t>
      </w:r>
      <w:r w:rsidRPr="003E07A3">
        <w:rPr>
          <w:rFonts w:asciiTheme="majorHAnsi" w:hAnsiTheme="majorHAnsi" w:cs="Calibri"/>
        </w:rPr>
        <w:t xml:space="preserve">. </w:t>
      </w:r>
      <w:r w:rsidR="006039D3">
        <w:rPr>
          <w:rFonts w:asciiTheme="majorHAnsi" w:hAnsiTheme="majorHAnsi" w:cs="Calibri"/>
        </w:rPr>
        <w:t xml:space="preserve">Figuriamoci 38! </w:t>
      </w:r>
      <w:bookmarkStart w:id="0" w:name="_GoBack"/>
      <w:bookmarkEnd w:id="0"/>
      <w:r w:rsidRPr="003E07A3">
        <w:rPr>
          <w:rFonts w:asciiTheme="majorHAnsi" w:hAnsiTheme="majorHAnsi" w:cs="Calibri"/>
        </w:rPr>
        <w:t>Ma allora era possibile utilizzare il canale della pensione di vecchiaia che prevedeva 5 anni di differenza per le lavoratrici private (mentre per le pubbliche la modalità truffaldina di relazione con la UE da parte di tutti i governi</w:t>
      </w:r>
      <w:r>
        <w:rPr>
          <w:rFonts w:asciiTheme="majorHAnsi" w:hAnsiTheme="majorHAnsi" w:cs="Calibri"/>
        </w:rPr>
        <w:t>,</w:t>
      </w:r>
      <w:r w:rsidRPr="003E07A3">
        <w:rPr>
          <w:rFonts w:asciiTheme="majorHAnsi" w:hAnsiTheme="majorHAnsi" w:cs="Calibri"/>
        </w:rPr>
        <w:t xml:space="preserve"> di centrosinistra come di centrodestra</w:t>
      </w:r>
      <w:r>
        <w:rPr>
          <w:rFonts w:asciiTheme="majorHAnsi" w:hAnsiTheme="majorHAnsi" w:cs="Calibri"/>
        </w:rPr>
        <w:t>,</w:t>
      </w:r>
      <w:r w:rsidRPr="003E07A3">
        <w:rPr>
          <w:rFonts w:asciiTheme="majorHAnsi" w:hAnsiTheme="majorHAnsi" w:cs="Calibri"/>
        </w:rPr>
        <w:t xml:space="preserve"> aveva già portato all’innalzamento dell’età pensionabile). </w:t>
      </w:r>
    </w:p>
    <w:p w14:paraId="65B1FA58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I dati recenti forniti dai sindacati parlano per le lavoratrici </w:t>
      </w:r>
      <w:r>
        <w:rPr>
          <w:rFonts w:asciiTheme="majorHAnsi" w:hAnsiTheme="majorHAnsi" w:cs="Calibri"/>
        </w:rPr>
        <w:t xml:space="preserve">del </w:t>
      </w:r>
      <w:r w:rsidRPr="003E07A3">
        <w:rPr>
          <w:rFonts w:asciiTheme="majorHAnsi" w:hAnsiTheme="majorHAnsi" w:cs="Calibri"/>
        </w:rPr>
        <w:t xml:space="preserve">settore privato di una media di 25,5 anni di contributi contro i 38,8 degli uomini. </w:t>
      </w:r>
    </w:p>
    <w:p w14:paraId="77DDFAE6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B86915">
        <w:rPr>
          <w:rFonts w:asciiTheme="majorHAnsi" w:hAnsiTheme="majorHAnsi" w:cs="Calibri"/>
          <w:b/>
        </w:rPr>
        <w:t>In sostanza le donne che potranno accedere a Quota 100 saranno un’assoluta minoranza</w:t>
      </w:r>
      <w:r w:rsidRPr="003E07A3">
        <w:rPr>
          <w:rFonts w:asciiTheme="majorHAnsi" w:hAnsiTheme="majorHAnsi" w:cs="Calibri"/>
        </w:rPr>
        <w:t xml:space="preserve">, mentre Opzione Donna comporta penalizzazioni delle pensioni fortissime, che intervengono su retribuzioni già nettamente più basse di quelle degli uomini. </w:t>
      </w:r>
    </w:p>
    <w:p w14:paraId="19EF5034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</w:rPr>
      </w:pPr>
      <w:r w:rsidRPr="003E07A3">
        <w:rPr>
          <w:rFonts w:asciiTheme="majorHAnsi" w:hAnsiTheme="majorHAnsi" w:cs="Calibri"/>
          <w:b/>
        </w:rPr>
        <w:t>I giovani</w:t>
      </w:r>
    </w:p>
    <w:p w14:paraId="0CE49E1B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La situazione attuale delle donne non fa che anticipare la situazione futura di chi lavora oggi. </w:t>
      </w:r>
    </w:p>
    <w:p w14:paraId="399222AA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I 38 anni di contributi sono una chimera per la condizione precaria sempre più generalizzata delle lavoratrici e dei lavoratori attuali, che vede accanto alla discontinuità lavorativa condizioni salariali nettamente peggiori (il 30% in meno rispetto al tempo indeterminato). </w:t>
      </w:r>
    </w:p>
    <w:p w14:paraId="364897B8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19F13E05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3E07A3">
        <w:rPr>
          <w:rFonts w:asciiTheme="majorHAnsi" w:hAnsiTheme="majorHAnsi" w:cs="Calibri"/>
        </w:rPr>
        <w:t xml:space="preserve">Per questo è per noi imprescindibile una mobilitazione che si ponga l’obiettivo di una riforma organica della previdenza, e che rivendichi da subito il ripristino di una riduzione significativa dell’età pensionabile per le donne - almeno fin quando non sarà conquistata una effettiva uguaglianza nel lavoro produttivo e riproduttivo - e una pensione di garanzia per i giovani, iniziando a rimettere in discussione i meccanismi del contributivo. </w:t>
      </w:r>
    </w:p>
    <w:p w14:paraId="56E506EE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222222"/>
        </w:rPr>
      </w:pPr>
      <w:r w:rsidRPr="003E07A3">
        <w:rPr>
          <w:rFonts w:asciiTheme="majorHAnsi" w:hAnsiTheme="majorHAnsi" w:cs="Calibri"/>
        </w:rPr>
        <w:t xml:space="preserve">Come continuiamo a evidenziare, non c’è nessun problema di sostenibilità intrinseca del sistema pensionistico. La controriforma Fornero fu imposta dentro le logiche delle politiche di austerità. </w:t>
      </w:r>
      <w:r>
        <w:rPr>
          <w:rFonts w:asciiTheme="majorHAnsi" w:hAnsiTheme="majorHAnsi"/>
          <w:bCs/>
          <w:color w:val="222222"/>
        </w:rPr>
        <w:t xml:space="preserve">Ma </w:t>
      </w:r>
      <w:r w:rsidRPr="003E07A3">
        <w:rPr>
          <w:rFonts w:asciiTheme="majorHAnsi" w:hAnsiTheme="majorHAnsi"/>
          <w:bCs/>
          <w:color w:val="222222"/>
        </w:rPr>
        <w:t>il saldo</w:t>
      </w:r>
      <w:r w:rsidRPr="003E07A3">
        <w:rPr>
          <w:rFonts w:asciiTheme="majorHAnsi" w:hAnsiTheme="majorHAnsi"/>
          <w:color w:val="222222"/>
        </w:rPr>
        <w:t>  tra le entrate contributive e le prestazioni previdenziali</w:t>
      </w:r>
      <w:r>
        <w:rPr>
          <w:rFonts w:asciiTheme="majorHAnsi" w:hAnsiTheme="majorHAnsi"/>
          <w:color w:val="222222"/>
        </w:rPr>
        <w:t>,</w:t>
      </w:r>
      <w:r w:rsidRPr="003E07A3">
        <w:rPr>
          <w:rFonts w:asciiTheme="majorHAnsi" w:hAnsiTheme="majorHAnsi"/>
          <w:color w:val="222222"/>
        </w:rPr>
        <w:t xml:space="preserve"> al netto dell’assistenza e delle </w:t>
      </w:r>
      <w:r>
        <w:rPr>
          <w:rFonts w:asciiTheme="majorHAnsi" w:hAnsiTheme="majorHAnsi"/>
          <w:color w:val="222222"/>
        </w:rPr>
        <w:t xml:space="preserve">tasse, </w:t>
      </w:r>
      <w:r>
        <w:rPr>
          <w:rFonts w:asciiTheme="majorHAnsi" w:hAnsiTheme="majorHAnsi"/>
          <w:bCs/>
          <w:color w:val="222222"/>
        </w:rPr>
        <w:t xml:space="preserve">è </w:t>
      </w:r>
      <w:r w:rsidRPr="003E07A3">
        <w:rPr>
          <w:rFonts w:asciiTheme="majorHAnsi" w:hAnsiTheme="majorHAnsi"/>
          <w:bCs/>
          <w:color w:val="222222"/>
        </w:rPr>
        <w:t xml:space="preserve"> sempre</w:t>
      </w:r>
      <w:r w:rsidRPr="003E07A3">
        <w:rPr>
          <w:rFonts w:asciiTheme="majorHAnsi" w:hAnsiTheme="majorHAnsi"/>
          <w:color w:val="222222"/>
        </w:rPr>
        <w:t> </w:t>
      </w:r>
      <w:r>
        <w:rPr>
          <w:rFonts w:asciiTheme="majorHAnsi" w:hAnsiTheme="majorHAnsi"/>
          <w:color w:val="222222"/>
        </w:rPr>
        <w:t xml:space="preserve">stato </w:t>
      </w:r>
      <w:r w:rsidRPr="003E07A3">
        <w:rPr>
          <w:rFonts w:asciiTheme="majorHAnsi" w:hAnsiTheme="majorHAnsi"/>
          <w:bCs/>
          <w:color w:val="222222"/>
        </w:rPr>
        <w:t>in attivo</w:t>
      </w:r>
      <w:r>
        <w:rPr>
          <w:rFonts w:asciiTheme="majorHAnsi" w:hAnsiTheme="majorHAnsi"/>
          <w:bCs/>
          <w:color w:val="222222"/>
        </w:rPr>
        <w:t xml:space="preserve"> a partire dal 1996</w:t>
      </w:r>
      <w:r w:rsidRPr="003E07A3">
        <w:rPr>
          <w:rFonts w:asciiTheme="majorHAnsi" w:hAnsiTheme="majorHAnsi"/>
          <w:bCs/>
          <w:color w:val="222222"/>
        </w:rPr>
        <w:t>: un</w:t>
      </w:r>
      <w:r w:rsidRPr="003E07A3">
        <w:rPr>
          <w:rFonts w:asciiTheme="majorHAnsi" w:hAnsiTheme="majorHAnsi"/>
          <w:color w:val="222222"/>
        </w:rPr>
        <w:t xml:space="preserve"> attivo che nel 2016 è stato di circa 39 miliardi</w:t>
      </w:r>
      <w:r w:rsidRPr="003E07A3">
        <w:rPr>
          <w:rStyle w:val="Rimandonotaapidipagina"/>
          <w:rFonts w:asciiTheme="majorHAnsi" w:hAnsiTheme="majorHAnsi"/>
          <w:color w:val="222222"/>
        </w:rPr>
        <w:footnoteReference w:id="4"/>
      </w:r>
      <w:r w:rsidRPr="003E07A3">
        <w:rPr>
          <w:rFonts w:asciiTheme="majorHAnsi" w:hAnsiTheme="majorHAnsi"/>
          <w:color w:val="222222"/>
        </w:rPr>
        <w:t xml:space="preserve">. </w:t>
      </w:r>
    </w:p>
    <w:p w14:paraId="2B47AC62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222222"/>
        </w:rPr>
      </w:pPr>
      <w:r w:rsidRPr="003E07A3">
        <w:rPr>
          <w:rFonts w:asciiTheme="majorHAnsi" w:hAnsiTheme="majorHAnsi"/>
          <w:color w:val="222222"/>
        </w:rPr>
        <w:t xml:space="preserve">Il limite di </w:t>
      </w:r>
      <w:r>
        <w:rPr>
          <w:rFonts w:asciiTheme="majorHAnsi" w:hAnsiTheme="majorHAnsi"/>
          <w:color w:val="222222"/>
        </w:rPr>
        <w:t>“</w:t>
      </w:r>
      <w:r w:rsidRPr="003E07A3">
        <w:rPr>
          <w:rFonts w:asciiTheme="majorHAnsi" w:hAnsiTheme="majorHAnsi"/>
          <w:color w:val="222222"/>
        </w:rPr>
        <w:t>Quota 100</w:t>
      </w:r>
      <w:r>
        <w:rPr>
          <w:rFonts w:asciiTheme="majorHAnsi" w:hAnsiTheme="majorHAnsi"/>
          <w:color w:val="222222"/>
        </w:rPr>
        <w:t>”</w:t>
      </w:r>
      <w:r w:rsidRPr="003E07A3">
        <w:rPr>
          <w:rFonts w:asciiTheme="majorHAnsi" w:hAnsiTheme="majorHAnsi"/>
          <w:color w:val="222222"/>
        </w:rPr>
        <w:t xml:space="preserve"> è quello </w:t>
      </w:r>
      <w:r>
        <w:rPr>
          <w:rFonts w:asciiTheme="majorHAnsi" w:hAnsiTheme="majorHAnsi"/>
          <w:color w:val="222222"/>
        </w:rPr>
        <w:t>di tutta la manovra, di cui pure rappresenta probabilmente il provvedimento migliore</w:t>
      </w:r>
      <w:r w:rsidRPr="003E07A3">
        <w:rPr>
          <w:rFonts w:asciiTheme="majorHAnsi" w:hAnsiTheme="majorHAnsi"/>
          <w:color w:val="222222"/>
        </w:rPr>
        <w:t xml:space="preserve">: i vincoli dell’austerità UE rispetto ai quali il governo ha </w:t>
      </w:r>
      <w:r>
        <w:rPr>
          <w:rFonts w:asciiTheme="majorHAnsi" w:hAnsiTheme="majorHAnsi"/>
          <w:color w:val="222222"/>
        </w:rPr>
        <w:t xml:space="preserve">portato avanti </w:t>
      </w:r>
      <w:r w:rsidRPr="003E07A3">
        <w:rPr>
          <w:rFonts w:asciiTheme="majorHAnsi" w:hAnsiTheme="majorHAnsi"/>
          <w:color w:val="222222"/>
        </w:rPr>
        <w:t xml:space="preserve">un’iniziativa tanto teatrale quanto inefficace, ed insieme le politiche fiscali inique fatte di condoni e Flat Tax, piuttosto che di contrasto all’evasione, maggiore progressività, patrimoniale sulle grandi ricchezze. </w:t>
      </w:r>
    </w:p>
    <w:p w14:paraId="77ACEFDC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222222"/>
        </w:rPr>
      </w:pPr>
    </w:p>
    <w:p w14:paraId="407AB6F8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3ECA1F3C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6B1D2426" w14:textId="77777777" w:rsidR="00D454B1" w:rsidRPr="003E07A3" w:rsidRDefault="00D454B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5800C076" w14:textId="3ECAED2A" w:rsidR="00D454B1" w:rsidRDefault="001C54A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 cura di Roberta Fantozzi</w:t>
      </w:r>
    </w:p>
    <w:p w14:paraId="2C045F5B" w14:textId="221B9867" w:rsidR="001C54A1" w:rsidRPr="003E07A3" w:rsidRDefault="001C54A1" w:rsidP="00D454B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Dip. politiche economiche e del lavoro</w:t>
      </w:r>
    </w:p>
    <w:p w14:paraId="2FE4560B" w14:textId="77777777" w:rsidR="00D454B1" w:rsidRDefault="00D454B1" w:rsidP="00D454B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E7C2239" w14:textId="77777777" w:rsidR="00D454B1" w:rsidRPr="00070101" w:rsidRDefault="00D454B1" w:rsidP="002B4078">
      <w:pPr>
        <w:jc w:val="both"/>
        <w:rPr>
          <w:rFonts w:asciiTheme="majorHAnsi" w:hAnsiTheme="majorHAnsi"/>
          <w:b/>
        </w:rPr>
      </w:pPr>
    </w:p>
    <w:sectPr w:rsidR="00D454B1" w:rsidRPr="00070101" w:rsidSect="009E4159">
      <w:footerReference w:type="even" r:id="rId7"/>
      <w:footerReference w:type="default" r:id="rId8"/>
      <w:pgSz w:w="11900" w:h="16840"/>
      <w:pgMar w:top="85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1ED3F" w14:textId="77777777" w:rsidR="001C54A1" w:rsidRDefault="001C54A1" w:rsidP="009D5F5E">
      <w:r>
        <w:separator/>
      </w:r>
    </w:p>
  </w:endnote>
  <w:endnote w:type="continuationSeparator" w:id="0">
    <w:p w14:paraId="135CAF95" w14:textId="77777777" w:rsidR="001C54A1" w:rsidRDefault="001C54A1" w:rsidP="009D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086D" w14:textId="77777777" w:rsidR="001C54A1" w:rsidRDefault="001C54A1" w:rsidP="009D5F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D8F5AF" w14:textId="77777777" w:rsidR="001C54A1" w:rsidRDefault="001C54A1" w:rsidP="009D5F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513A" w14:textId="77777777" w:rsidR="001C54A1" w:rsidRDefault="001C54A1" w:rsidP="009D5F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1A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90A799" w14:textId="77777777" w:rsidR="001C54A1" w:rsidRDefault="001C54A1" w:rsidP="009D5F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9822E" w14:textId="77777777" w:rsidR="001C54A1" w:rsidRDefault="001C54A1" w:rsidP="009D5F5E">
      <w:r>
        <w:separator/>
      </w:r>
    </w:p>
  </w:footnote>
  <w:footnote w:type="continuationSeparator" w:id="0">
    <w:p w14:paraId="7CE0E632" w14:textId="77777777" w:rsidR="001C54A1" w:rsidRDefault="001C54A1" w:rsidP="009D5F5E">
      <w:r>
        <w:continuationSeparator/>
      </w:r>
    </w:p>
  </w:footnote>
  <w:footnote w:id="1">
    <w:p w14:paraId="65C5C267" w14:textId="77777777" w:rsidR="001C54A1" w:rsidRDefault="001C54A1" w:rsidP="00D454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/>
        </w:rPr>
        <w:t>Censis,  2016</w:t>
      </w:r>
    </w:p>
  </w:footnote>
  <w:footnote w:id="2">
    <w:p w14:paraId="6EBFE486" w14:textId="77777777" w:rsidR="001C54A1" w:rsidRPr="003E07A3" w:rsidRDefault="001C54A1" w:rsidP="00D454B1">
      <w:pPr>
        <w:pStyle w:val="Testonotaapidipagina"/>
        <w:rPr>
          <w:rFonts w:asciiTheme="majorHAnsi" w:hAnsiTheme="majorHAnsi"/>
        </w:rPr>
      </w:pPr>
      <w:r w:rsidRPr="003E07A3">
        <w:rPr>
          <w:rStyle w:val="Rimandonotaapidipagina"/>
          <w:rFonts w:asciiTheme="majorHAnsi" w:hAnsiTheme="majorHAnsi"/>
        </w:rPr>
        <w:footnoteRef/>
      </w:r>
      <w:r w:rsidRPr="003E07A3">
        <w:rPr>
          <w:rFonts w:asciiTheme="majorHAnsi" w:hAnsiTheme="majorHAnsi"/>
        </w:rPr>
        <w:t xml:space="preserve"> Istat, terzo trimestre 2018</w:t>
      </w:r>
    </w:p>
  </w:footnote>
  <w:footnote w:id="3">
    <w:p w14:paraId="52AED33A" w14:textId="77777777" w:rsidR="001C54A1" w:rsidRDefault="001C54A1" w:rsidP="00D454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E07A3">
        <w:rPr>
          <w:rFonts w:asciiTheme="majorHAnsi" w:hAnsiTheme="majorHAnsi" w:cs="Calibri"/>
        </w:rPr>
        <w:t>X Congresso Attuari INPS</w:t>
      </w:r>
    </w:p>
  </w:footnote>
  <w:footnote w:id="4">
    <w:p w14:paraId="17EA3D4D" w14:textId="77777777" w:rsidR="001C54A1" w:rsidRPr="003E07A3" w:rsidRDefault="001C54A1" w:rsidP="00D454B1">
      <w:pPr>
        <w:shd w:val="clear" w:color="auto" w:fill="FFFFFF"/>
        <w:spacing w:line="240" w:lineRule="atLeast"/>
        <w:rPr>
          <w:rFonts w:asciiTheme="majorHAnsi" w:eastAsia="Times New Roman" w:hAnsiTheme="majorHAnsi" w:cs="Arial"/>
          <w:iCs/>
          <w:color w:val="444444"/>
        </w:rPr>
      </w:pPr>
      <w:r w:rsidRPr="003E07A3">
        <w:rPr>
          <w:rStyle w:val="Rimandonotaapidipagina"/>
          <w:rFonts w:asciiTheme="majorHAnsi" w:hAnsiTheme="majorHAnsi"/>
        </w:rPr>
        <w:footnoteRef/>
      </w:r>
      <w:r w:rsidRPr="003E07A3">
        <w:rPr>
          <w:rFonts w:asciiTheme="majorHAnsi" w:eastAsia="Times New Roman" w:hAnsiTheme="majorHAnsi" w:cs="Arial"/>
          <w:iCs/>
          <w:color w:val="444444"/>
        </w:rPr>
        <w:t> </w:t>
      </w:r>
      <w:hyperlink r:id="rId1" w:history="1">
        <w:r w:rsidRPr="003E07A3">
          <w:rPr>
            <w:rFonts w:asciiTheme="majorHAnsi" w:eastAsia="Times New Roman" w:hAnsiTheme="majorHAnsi" w:cs="Arial"/>
            <w:bCs/>
            <w:iCs/>
            <w:color w:val="222222"/>
          </w:rPr>
          <w:t>F. R. Pizzuti</w:t>
        </w:r>
      </w:hyperlink>
      <w:r w:rsidRPr="003E07A3">
        <w:rPr>
          <w:rFonts w:asciiTheme="majorHAnsi" w:eastAsia="Times New Roman" w:hAnsiTheme="majorHAnsi" w:cs="Arial"/>
          <w:iCs/>
          <w:color w:val="444444"/>
        </w:rPr>
        <w:t> “</w:t>
      </w:r>
      <w:r w:rsidRPr="003E07A3">
        <w:rPr>
          <w:rFonts w:asciiTheme="majorHAnsi" w:eastAsia="Times New Roman" w:hAnsiTheme="majorHAnsi" w:cs="Arial"/>
          <w:color w:val="222222"/>
          <w:spacing w:val="-5"/>
        </w:rPr>
        <w:t>Pensioni: una bomba sociale pronta a esplodere”</w:t>
      </w:r>
      <w:r w:rsidRPr="003E07A3">
        <w:rPr>
          <w:rFonts w:asciiTheme="majorHAnsi" w:eastAsia="Times New Roman" w:hAnsiTheme="majorHAnsi" w:cs="Arial"/>
          <w:iCs/>
          <w:color w:val="444444"/>
        </w:rPr>
        <w:t>, Gennaio 2018</w:t>
      </w:r>
    </w:p>
    <w:p w14:paraId="103E75A9" w14:textId="77777777" w:rsidR="001C54A1" w:rsidRPr="003E07A3" w:rsidRDefault="001C54A1" w:rsidP="00D454B1">
      <w:pPr>
        <w:shd w:val="clear" w:color="auto" w:fill="FFFFFF"/>
        <w:spacing w:line="240" w:lineRule="atLeast"/>
        <w:rPr>
          <w:rFonts w:asciiTheme="majorHAnsi" w:eastAsia="Times New Roman" w:hAnsiTheme="majorHAnsi" w:cs="Arial"/>
          <w:iCs/>
          <w:color w:val="444444"/>
          <w:sz w:val="22"/>
          <w:szCs w:val="22"/>
        </w:rPr>
      </w:pPr>
      <w:r w:rsidRPr="003E07A3">
        <w:rPr>
          <w:rFonts w:asciiTheme="majorHAnsi" w:eastAsia="Times New Roman" w:hAnsiTheme="majorHAnsi" w:cs="Arial"/>
          <w:iCs/>
          <w:color w:val="444444"/>
          <w:sz w:val="22"/>
          <w:szCs w:val="22"/>
        </w:rPr>
        <w:t> </w:t>
      </w:r>
    </w:p>
    <w:p w14:paraId="4734A132" w14:textId="77777777" w:rsidR="001C54A1" w:rsidRDefault="001C54A1" w:rsidP="00D454B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78"/>
    <w:rsid w:val="00070101"/>
    <w:rsid w:val="000B4BEC"/>
    <w:rsid w:val="0010007B"/>
    <w:rsid w:val="00100B95"/>
    <w:rsid w:val="00100CD5"/>
    <w:rsid w:val="00116E54"/>
    <w:rsid w:val="0017596E"/>
    <w:rsid w:val="001C54A1"/>
    <w:rsid w:val="001F3F3D"/>
    <w:rsid w:val="002B4078"/>
    <w:rsid w:val="002C0448"/>
    <w:rsid w:val="00315E4B"/>
    <w:rsid w:val="003578E4"/>
    <w:rsid w:val="003A4CE9"/>
    <w:rsid w:val="003D1A1D"/>
    <w:rsid w:val="00400589"/>
    <w:rsid w:val="00404ED7"/>
    <w:rsid w:val="004066ED"/>
    <w:rsid w:val="004209DA"/>
    <w:rsid w:val="00486029"/>
    <w:rsid w:val="0049026C"/>
    <w:rsid w:val="00494384"/>
    <w:rsid w:val="004C2FEA"/>
    <w:rsid w:val="004D732C"/>
    <w:rsid w:val="005226FF"/>
    <w:rsid w:val="005253A2"/>
    <w:rsid w:val="005B3BE1"/>
    <w:rsid w:val="005C4A21"/>
    <w:rsid w:val="005E0D84"/>
    <w:rsid w:val="005E5C98"/>
    <w:rsid w:val="005E7C7F"/>
    <w:rsid w:val="006039D3"/>
    <w:rsid w:val="00610965"/>
    <w:rsid w:val="00632CEB"/>
    <w:rsid w:val="00671E5A"/>
    <w:rsid w:val="006B4DD6"/>
    <w:rsid w:val="006D16CD"/>
    <w:rsid w:val="006D5ED2"/>
    <w:rsid w:val="006E4561"/>
    <w:rsid w:val="006F5380"/>
    <w:rsid w:val="007059E5"/>
    <w:rsid w:val="007334D0"/>
    <w:rsid w:val="00747ACB"/>
    <w:rsid w:val="00761B47"/>
    <w:rsid w:val="007779AB"/>
    <w:rsid w:val="00781C9E"/>
    <w:rsid w:val="00793B00"/>
    <w:rsid w:val="00801301"/>
    <w:rsid w:val="00874E51"/>
    <w:rsid w:val="00900B67"/>
    <w:rsid w:val="009025BA"/>
    <w:rsid w:val="00916B33"/>
    <w:rsid w:val="00952989"/>
    <w:rsid w:val="0096243C"/>
    <w:rsid w:val="00995625"/>
    <w:rsid w:val="009C7A8D"/>
    <w:rsid w:val="009D5F5E"/>
    <w:rsid w:val="009E4159"/>
    <w:rsid w:val="009E729D"/>
    <w:rsid w:val="00A06ED0"/>
    <w:rsid w:val="00A20F31"/>
    <w:rsid w:val="00A5670D"/>
    <w:rsid w:val="00A7580E"/>
    <w:rsid w:val="00A81886"/>
    <w:rsid w:val="00AA40F0"/>
    <w:rsid w:val="00AE4C1F"/>
    <w:rsid w:val="00B21F69"/>
    <w:rsid w:val="00B27BDA"/>
    <w:rsid w:val="00BA4430"/>
    <w:rsid w:val="00BA4D98"/>
    <w:rsid w:val="00BB6F95"/>
    <w:rsid w:val="00C40630"/>
    <w:rsid w:val="00C83FED"/>
    <w:rsid w:val="00C85992"/>
    <w:rsid w:val="00CE77F7"/>
    <w:rsid w:val="00D0690A"/>
    <w:rsid w:val="00D1566B"/>
    <w:rsid w:val="00D24F61"/>
    <w:rsid w:val="00D454B1"/>
    <w:rsid w:val="00D47F86"/>
    <w:rsid w:val="00D5545A"/>
    <w:rsid w:val="00D65A29"/>
    <w:rsid w:val="00DC64B7"/>
    <w:rsid w:val="00DF4298"/>
    <w:rsid w:val="00E02EC7"/>
    <w:rsid w:val="00E25C1B"/>
    <w:rsid w:val="00E41231"/>
    <w:rsid w:val="00E72E98"/>
    <w:rsid w:val="00E92355"/>
    <w:rsid w:val="00E953A3"/>
    <w:rsid w:val="00EA7142"/>
    <w:rsid w:val="00EB45E8"/>
    <w:rsid w:val="00F15A12"/>
    <w:rsid w:val="00F36B0B"/>
    <w:rsid w:val="00F46E08"/>
    <w:rsid w:val="00F47E95"/>
    <w:rsid w:val="00F5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CF09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8599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578E4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72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E72E98"/>
    <w:rPr>
      <w:rFonts w:ascii="Courier" w:hAnsi="Courier" w:cs="Courier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B4BEC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85992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C859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D5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F5E"/>
  </w:style>
  <w:style w:type="character" w:styleId="Numeropagina">
    <w:name w:val="page number"/>
    <w:basedOn w:val="Caratterepredefinitoparagrafo"/>
    <w:uiPriority w:val="99"/>
    <w:semiHidden/>
    <w:unhideWhenUsed/>
    <w:rsid w:val="009D5F5E"/>
  </w:style>
  <w:style w:type="paragraph" w:styleId="Testonotaapidipagina">
    <w:name w:val="footnote text"/>
    <w:basedOn w:val="Normale"/>
    <w:link w:val="TestonotaapidipaginaCarattere"/>
    <w:uiPriority w:val="99"/>
    <w:unhideWhenUsed/>
    <w:rsid w:val="00D454B1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D454B1"/>
  </w:style>
  <w:style w:type="character" w:styleId="Rimandonotaapidipagina">
    <w:name w:val="footnote reference"/>
    <w:basedOn w:val="Caratterepredefinitoparagrafo"/>
    <w:uiPriority w:val="99"/>
    <w:unhideWhenUsed/>
    <w:rsid w:val="00D454B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8599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578E4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72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E72E98"/>
    <w:rPr>
      <w:rFonts w:ascii="Courier" w:hAnsi="Courier" w:cs="Courier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B4BEC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85992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C859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D5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5F5E"/>
  </w:style>
  <w:style w:type="character" w:styleId="Numeropagina">
    <w:name w:val="page number"/>
    <w:basedOn w:val="Caratterepredefinitoparagrafo"/>
    <w:uiPriority w:val="99"/>
    <w:semiHidden/>
    <w:unhideWhenUsed/>
    <w:rsid w:val="009D5F5E"/>
  </w:style>
  <w:style w:type="paragraph" w:styleId="Testonotaapidipagina">
    <w:name w:val="footnote text"/>
    <w:basedOn w:val="Normale"/>
    <w:link w:val="TestonotaapidipaginaCarattere"/>
    <w:uiPriority w:val="99"/>
    <w:unhideWhenUsed/>
    <w:rsid w:val="00D454B1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D454B1"/>
  </w:style>
  <w:style w:type="character" w:styleId="Rimandonotaapidipagina">
    <w:name w:val="footnote reference"/>
    <w:basedOn w:val="Caratterepredefinitoparagrafo"/>
    <w:uiPriority w:val="99"/>
    <w:unhideWhenUsed/>
    <w:rsid w:val="00D45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iaepolitica.it/?p=82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3137</Words>
  <Characters>17887</Characters>
  <Application>Microsoft Macintosh Word</Application>
  <DocSecurity>0</DocSecurity>
  <Lines>149</Lines>
  <Paragraphs>41</Paragraphs>
  <ScaleCrop>false</ScaleCrop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dcterms:created xsi:type="dcterms:W3CDTF">2019-02-06T15:28:00Z</dcterms:created>
  <dcterms:modified xsi:type="dcterms:W3CDTF">2019-02-06T15:28:00Z</dcterms:modified>
</cp:coreProperties>
</file>