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F5B9A" w14:textId="77777777" w:rsidR="00200CD7" w:rsidRDefault="00810FFD" w:rsidP="00200CD7">
      <w:pPr>
        <w:jc w:val="center"/>
        <w:rPr>
          <w:rFonts w:asciiTheme="majorHAnsi" w:hAnsiTheme="majorHAnsi"/>
          <w:b/>
          <w:sz w:val="26"/>
          <w:szCs w:val="26"/>
        </w:rPr>
      </w:pPr>
      <w:r w:rsidRPr="00200CD7">
        <w:rPr>
          <w:rFonts w:asciiTheme="majorHAnsi" w:hAnsiTheme="majorHAnsi"/>
          <w:b/>
          <w:sz w:val="26"/>
          <w:szCs w:val="26"/>
        </w:rPr>
        <w:t xml:space="preserve">QUOTA 100 </w:t>
      </w:r>
      <w:r w:rsidR="00D82904" w:rsidRPr="00200CD7">
        <w:rPr>
          <w:rFonts w:asciiTheme="majorHAnsi" w:hAnsiTheme="majorHAnsi"/>
          <w:b/>
          <w:sz w:val="26"/>
          <w:szCs w:val="26"/>
        </w:rPr>
        <w:t>NON E’ L’AB</w:t>
      </w:r>
      <w:r w:rsidRPr="00200CD7">
        <w:rPr>
          <w:rFonts w:asciiTheme="majorHAnsi" w:hAnsiTheme="majorHAnsi"/>
          <w:b/>
          <w:sz w:val="26"/>
          <w:szCs w:val="26"/>
        </w:rPr>
        <w:t>ROGAZIONE DELLA LEGGE FORNERO.</w:t>
      </w:r>
    </w:p>
    <w:p w14:paraId="095A0ABA" w14:textId="77777777" w:rsidR="00CF556D" w:rsidRDefault="00200CD7" w:rsidP="00200CD7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PESANTE PENALIZZAZIONE</w:t>
      </w:r>
      <w:r w:rsidRPr="00200CD7">
        <w:rPr>
          <w:rFonts w:asciiTheme="majorHAnsi" w:hAnsiTheme="majorHAnsi"/>
          <w:b/>
          <w:sz w:val="26"/>
          <w:szCs w:val="26"/>
        </w:rPr>
        <w:t xml:space="preserve"> </w:t>
      </w:r>
      <w:r w:rsidR="00BD5417" w:rsidRPr="00200CD7">
        <w:rPr>
          <w:rFonts w:asciiTheme="majorHAnsi" w:hAnsiTheme="majorHAnsi"/>
          <w:b/>
          <w:sz w:val="26"/>
          <w:szCs w:val="26"/>
        </w:rPr>
        <w:t>PER</w:t>
      </w:r>
      <w:r w:rsidRPr="00200CD7">
        <w:rPr>
          <w:rFonts w:asciiTheme="majorHAnsi" w:hAnsiTheme="majorHAnsi"/>
          <w:b/>
          <w:sz w:val="26"/>
          <w:szCs w:val="26"/>
        </w:rPr>
        <w:t xml:space="preserve"> LE DONNE</w:t>
      </w:r>
      <w:r w:rsidR="00D82904" w:rsidRPr="00200CD7">
        <w:rPr>
          <w:rFonts w:asciiTheme="majorHAnsi" w:hAnsiTheme="majorHAnsi"/>
          <w:b/>
          <w:sz w:val="26"/>
          <w:szCs w:val="26"/>
        </w:rPr>
        <w:t xml:space="preserve"> I LAVORATORI PRECARI</w:t>
      </w:r>
    </w:p>
    <w:p w14:paraId="5E5A24A3" w14:textId="77777777" w:rsidR="003E07A3" w:rsidRPr="003E07A3" w:rsidRDefault="003E07A3" w:rsidP="00200CD7">
      <w:pPr>
        <w:jc w:val="center"/>
        <w:rPr>
          <w:rFonts w:asciiTheme="majorHAnsi" w:hAnsiTheme="majorHAnsi"/>
          <w:b/>
          <w:sz w:val="16"/>
          <w:szCs w:val="16"/>
        </w:rPr>
      </w:pPr>
    </w:p>
    <w:p w14:paraId="433C5B5B" w14:textId="77777777" w:rsidR="00810FFD" w:rsidRPr="00DE1059" w:rsidRDefault="00810FFD" w:rsidP="00CF556D">
      <w:pPr>
        <w:jc w:val="both"/>
        <w:rPr>
          <w:rFonts w:asciiTheme="majorHAnsi" w:hAnsiTheme="majorHAnsi"/>
          <w:sz w:val="16"/>
          <w:szCs w:val="16"/>
        </w:rPr>
      </w:pPr>
    </w:p>
    <w:p w14:paraId="7D89793D" w14:textId="48AE5653" w:rsidR="00CF556D" w:rsidRPr="003E07A3" w:rsidRDefault="002A3527" w:rsidP="00CF556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 governo ha rinviato la discussione sulla </w:t>
      </w:r>
      <w:r w:rsidR="00CF556D" w:rsidRPr="003E07A3">
        <w:rPr>
          <w:rFonts w:asciiTheme="majorHAnsi" w:hAnsiTheme="majorHAnsi"/>
        </w:rPr>
        <w:t>bozza di decreto legge</w:t>
      </w:r>
      <w:r w:rsidR="00D82904" w:rsidRPr="003E07A3">
        <w:rPr>
          <w:rFonts w:asciiTheme="majorHAnsi" w:hAnsiTheme="majorHAnsi"/>
        </w:rPr>
        <w:t xml:space="preserve"> </w:t>
      </w:r>
      <w:r w:rsidR="00CF556D" w:rsidRPr="003E07A3">
        <w:rPr>
          <w:rFonts w:asciiTheme="majorHAnsi" w:hAnsiTheme="majorHAnsi"/>
        </w:rPr>
        <w:t>che ha fat</w:t>
      </w:r>
      <w:r w:rsidR="004008B3" w:rsidRPr="003E07A3">
        <w:rPr>
          <w:rFonts w:asciiTheme="majorHAnsi" w:hAnsiTheme="majorHAnsi"/>
        </w:rPr>
        <w:t>to la sua comparsa il 4 gennaio</w:t>
      </w:r>
      <w:r>
        <w:rPr>
          <w:rFonts w:asciiTheme="majorHAnsi" w:hAnsiTheme="majorHAnsi"/>
        </w:rPr>
        <w:t xml:space="preserve"> -</w:t>
      </w:r>
      <w:r w:rsidR="00707F81">
        <w:rPr>
          <w:rFonts w:asciiTheme="majorHAnsi" w:hAnsiTheme="majorHAnsi"/>
        </w:rPr>
        <w:t xml:space="preserve"> </w:t>
      </w:r>
      <w:r w:rsidR="00D82904" w:rsidRPr="003E07A3">
        <w:rPr>
          <w:rFonts w:asciiTheme="majorHAnsi" w:hAnsiTheme="majorHAnsi"/>
        </w:rPr>
        <w:t>poi aggi</w:t>
      </w:r>
      <w:r>
        <w:rPr>
          <w:rFonts w:asciiTheme="majorHAnsi" w:hAnsiTheme="majorHAnsi"/>
        </w:rPr>
        <w:t xml:space="preserve">ornata con un successivo testo - che </w:t>
      </w:r>
      <w:r w:rsidR="00CF556D" w:rsidRPr="003E07A3">
        <w:rPr>
          <w:rFonts w:asciiTheme="majorHAnsi" w:hAnsiTheme="majorHAnsi"/>
        </w:rPr>
        <w:t xml:space="preserve">definisce gli interventi </w:t>
      </w:r>
      <w:r>
        <w:rPr>
          <w:rFonts w:asciiTheme="majorHAnsi" w:hAnsiTheme="majorHAnsi"/>
        </w:rPr>
        <w:t xml:space="preserve">sia </w:t>
      </w:r>
      <w:r w:rsidR="00CF556D" w:rsidRPr="003E07A3">
        <w:rPr>
          <w:rFonts w:asciiTheme="majorHAnsi" w:hAnsiTheme="majorHAnsi"/>
        </w:rPr>
        <w:t>sul reddito</w:t>
      </w:r>
      <w:r>
        <w:rPr>
          <w:rFonts w:asciiTheme="majorHAnsi" w:hAnsiTheme="majorHAnsi"/>
        </w:rPr>
        <w:t xml:space="preserve"> che sulle pensioni</w:t>
      </w:r>
      <w:r w:rsidR="00CF556D" w:rsidRPr="003E07A3">
        <w:rPr>
          <w:rFonts w:asciiTheme="majorHAnsi" w:hAnsiTheme="majorHAnsi"/>
        </w:rPr>
        <w:t xml:space="preserve">: la cosiddetta “Quota 100”. </w:t>
      </w:r>
      <w:r>
        <w:rPr>
          <w:rFonts w:asciiTheme="majorHAnsi" w:hAnsiTheme="majorHAnsi"/>
        </w:rPr>
        <w:t xml:space="preserve"> In attesa di conoscere la versione finale del testo  è utile fare il punto di quello che si prospetta. </w:t>
      </w:r>
    </w:p>
    <w:p w14:paraId="1DFD086E" w14:textId="77777777" w:rsidR="00810FFD" w:rsidRPr="003E07A3" w:rsidRDefault="00810FFD" w:rsidP="00CF556D">
      <w:pPr>
        <w:jc w:val="both"/>
        <w:rPr>
          <w:rFonts w:asciiTheme="majorHAnsi" w:hAnsiTheme="majorHAnsi"/>
          <w:b/>
          <w:sz w:val="16"/>
          <w:szCs w:val="16"/>
        </w:rPr>
      </w:pPr>
    </w:p>
    <w:p w14:paraId="0F3933C3" w14:textId="4FFA64CD" w:rsidR="00CF556D" w:rsidRPr="003E07A3" w:rsidRDefault="00CF556D" w:rsidP="00CF556D">
      <w:pPr>
        <w:jc w:val="both"/>
        <w:rPr>
          <w:rFonts w:asciiTheme="majorHAnsi" w:hAnsiTheme="majorHAnsi"/>
          <w:b/>
        </w:rPr>
      </w:pPr>
      <w:r w:rsidRPr="003E07A3">
        <w:rPr>
          <w:rFonts w:asciiTheme="majorHAnsi" w:hAnsiTheme="majorHAnsi"/>
          <w:b/>
        </w:rPr>
        <w:t>ASSENTE LA NONA SALVAGU</w:t>
      </w:r>
      <w:r w:rsidR="008B7CC0">
        <w:rPr>
          <w:rFonts w:asciiTheme="majorHAnsi" w:hAnsiTheme="majorHAnsi"/>
          <w:b/>
        </w:rPr>
        <w:t>A</w:t>
      </w:r>
      <w:r w:rsidRPr="003E07A3">
        <w:rPr>
          <w:rFonts w:asciiTheme="majorHAnsi" w:hAnsiTheme="majorHAnsi"/>
          <w:b/>
        </w:rPr>
        <w:t>RDIA PER GLI ESODATI</w:t>
      </w:r>
    </w:p>
    <w:p w14:paraId="2083847A" w14:textId="308FEF4D" w:rsidR="00CF556D" w:rsidRPr="003E07A3" w:rsidRDefault="004C5750" w:rsidP="00CF556D">
      <w:pPr>
        <w:jc w:val="both"/>
        <w:rPr>
          <w:rFonts w:asciiTheme="majorHAnsi" w:hAnsiTheme="majorHAnsi"/>
        </w:rPr>
      </w:pPr>
      <w:r w:rsidRPr="0031235B">
        <w:rPr>
          <w:rFonts w:asciiTheme="majorHAnsi" w:hAnsiTheme="majorHAnsi"/>
        </w:rPr>
        <w:t>Manca intanto</w:t>
      </w:r>
      <w:r w:rsidR="00CF556D" w:rsidRPr="0031235B">
        <w:rPr>
          <w:rFonts w:asciiTheme="majorHAnsi" w:hAnsiTheme="majorHAnsi"/>
        </w:rPr>
        <w:t xml:space="preserve"> la no</w:t>
      </w:r>
      <w:r w:rsidRPr="0031235B">
        <w:rPr>
          <w:rFonts w:asciiTheme="majorHAnsi" w:hAnsiTheme="majorHAnsi"/>
        </w:rPr>
        <w:t xml:space="preserve">na salvaguardia per gli </w:t>
      </w:r>
      <w:proofErr w:type="spellStart"/>
      <w:r w:rsidRPr="0031235B">
        <w:rPr>
          <w:rFonts w:asciiTheme="majorHAnsi" w:hAnsiTheme="majorHAnsi"/>
        </w:rPr>
        <w:t>esodati</w:t>
      </w:r>
      <w:proofErr w:type="spellEnd"/>
      <w:r w:rsidR="00CF556D" w:rsidRPr="0031235B">
        <w:rPr>
          <w:rFonts w:asciiTheme="majorHAnsi" w:hAnsiTheme="majorHAnsi"/>
        </w:rPr>
        <w:t xml:space="preserve"> che avrebbe dovuto</w:t>
      </w:r>
      <w:r w:rsidR="008B7CC0">
        <w:rPr>
          <w:rFonts w:asciiTheme="majorHAnsi" w:hAnsiTheme="majorHAnsi"/>
        </w:rPr>
        <w:t xml:space="preserve"> sanare la situazione</w:t>
      </w:r>
      <w:r w:rsidR="00CF556D" w:rsidRPr="003E07A3">
        <w:rPr>
          <w:rFonts w:asciiTheme="majorHAnsi" w:hAnsiTheme="majorHAnsi"/>
        </w:rPr>
        <w:t xml:space="preserve"> </w:t>
      </w:r>
      <w:r w:rsidR="00DE1059" w:rsidRPr="003E07A3">
        <w:rPr>
          <w:rFonts w:asciiTheme="majorHAnsi" w:hAnsiTheme="majorHAnsi"/>
        </w:rPr>
        <w:t xml:space="preserve">di </w:t>
      </w:r>
      <w:r w:rsidR="004008B3" w:rsidRPr="003E07A3">
        <w:rPr>
          <w:rFonts w:asciiTheme="majorHAnsi" w:hAnsiTheme="majorHAnsi"/>
        </w:rPr>
        <w:t xml:space="preserve">circa 6mila persone, </w:t>
      </w:r>
      <w:r w:rsidR="00CF556D" w:rsidRPr="003E07A3">
        <w:rPr>
          <w:rFonts w:asciiTheme="majorHAnsi" w:hAnsiTheme="majorHAnsi"/>
        </w:rPr>
        <w:t xml:space="preserve">non coperte dalle salvaguardie precedenti e rispetto alla quale erano state reiterate molte promesse da parte della maggioranza. E’ un punto grave, che deve essere risolto. </w:t>
      </w:r>
    </w:p>
    <w:p w14:paraId="707DFE7B" w14:textId="77777777" w:rsidR="00CF556D" w:rsidRPr="003E07A3" w:rsidRDefault="00CF556D" w:rsidP="00CF556D">
      <w:pPr>
        <w:jc w:val="both"/>
        <w:rPr>
          <w:rFonts w:asciiTheme="majorHAnsi" w:hAnsiTheme="majorHAnsi"/>
          <w:b/>
          <w:sz w:val="16"/>
          <w:szCs w:val="16"/>
        </w:rPr>
      </w:pPr>
    </w:p>
    <w:p w14:paraId="2C989D6F" w14:textId="77777777" w:rsidR="00CF556D" w:rsidRPr="003E07A3" w:rsidRDefault="00CF556D" w:rsidP="00CF556D">
      <w:pPr>
        <w:jc w:val="both"/>
        <w:rPr>
          <w:rFonts w:asciiTheme="majorHAnsi" w:hAnsiTheme="majorHAnsi"/>
          <w:b/>
        </w:rPr>
      </w:pPr>
      <w:r w:rsidRPr="003E07A3">
        <w:rPr>
          <w:rFonts w:asciiTheme="majorHAnsi" w:hAnsiTheme="majorHAnsi"/>
          <w:b/>
        </w:rPr>
        <w:t>UNA MISURA “IN VIA SPERIMENTALE”</w:t>
      </w:r>
    </w:p>
    <w:p w14:paraId="75DC82C3" w14:textId="1844C3F6" w:rsidR="00CF556D" w:rsidRPr="003E07A3" w:rsidRDefault="00CF556D" w:rsidP="00CF556D">
      <w:pPr>
        <w:jc w:val="both"/>
        <w:rPr>
          <w:rFonts w:asciiTheme="majorHAnsi" w:hAnsiTheme="majorHAnsi"/>
        </w:rPr>
      </w:pPr>
      <w:r w:rsidRPr="0031235B">
        <w:rPr>
          <w:rFonts w:asciiTheme="majorHAnsi" w:hAnsiTheme="majorHAnsi"/>
        </w:rPr>
        <w:t>Si fissa poi il carattere “sperimentale” e non strutturale di Quota 100</w:t>
      </w:r>
      <w:r w:rsidRPr="003E07A3">
        <w:rPr>
          <w:rFonts w:asciiTheme="majorHAnsi" w:hAnsiTheme="majorHAnsi"/>
        </w:rPr>
        <w:t xml:space="preserve">, </w:t>
      </w:r>
      <w:r w:rsidR="002A3527">
        <w:rPr>
          <w:rFonts w:asciiTheme="majorHAnsi" w:hAnsiTheme="majorHAnsi"/>
        </w:rPr>
        <w:t xml:space="preserve">la cui valenza è delimitata al  triennio 2019- </w:t>
      </w:r>
      <w:r w:rsidRPr="003E07A3">
        <w:rPr>
          <w:rFonts w:asciiTheme="majorHAnsi" w:hAnsiTheme="majorHAnsi"/>
        </w:rPr>
        <w:t xml:space="preserve">2021. </w:t>
      </w:r>
      <w:r w:rsidR="00DE1059" w:rsidRPr="003E07A3">
        <w:rPr>
          <w:rFonts w:asciiTheme="majorHAnsi" w:hAnsiTheme="majorHAnsi"/>
        </w:rPr>
        <w:t xml:space="preserve"> </w:t>
      </w:r>
      <w:r w:rsidRPr="003E07A3">
        <w:rPr>
          <w:rFonts w:asciiTheme="majorHAnsi" w:hAnsiTheme="majorHAnsi"/>
        </w:rPr>
        <w:t xml:space="preserve">In realtà per l’intervento sulle pensioni (come per quello sul reddito) il rischio  che si tratti di misure spot, determinate dalla propaganda in vista delle elezioni europee, è </w:t>
      </w:r>
      <w:r w:rsidR="002A3527">
        <w:rPr>
          <w:rFonts w:asciiTheme="majorHAnsi" w:hAnsiTheme="majorHAnsi"/>
        </w:rPr>
        <w:t xml:space="preserve">assai </w:t>
      </w:r>
      <w:r w:rsidRPr="003E07A3">
        <w:rPr>
          <w:rFonts w:asciiTheme="majorHAnsi" w:hAnsiTheme="majorHAnsi"/>
        </w:rPr>
        <w:t xml:space="preserve">maggiore della sperimentalità triennale. La manovra prevede infatti, come è noto, per il 2020 e per il 2021 la necessità di reperire risorse per 23 e 29 miliardi, per disinnescare i pesantissimi aumenti dell’Iva fissati dalle clausole di salvaguardia a garanzia dell’accordo con la UE.  </w:t>
      </w:r>
    </w:p>
    <w:p w14:paraId="27917212" w14:textId="77777777" w:rsidR="00CF556D" w:rsidRPr="003E07A3" w:rsidRDefault="00CF556D" w:rsidP="00CF556D">
      <w:pPr>
        <w:jc w:val="both"/>
        <w:rPr>
          <w:rFonts w:asciiTheme="majorHAnsi" w:hAnsiTheme="majorHAnsi"/>
        </w:rPr>
      </w:pPr>
      <w:r w:rsidRPr="003E07A3">
        <w:rPr>
          <w:rFonts w:asciiTheme="majorHAnsi" w:hAnsiTheme="majorHAnsi"/>
        </w:rPr>
        <w:t xml:space="preserve">Una previsione che sottopone ogni intervento alla possibilità molto concreta di essere rimesso in discussione dopo le elezioni. </w:t>
      </w:r>
    </w:p>
    <w:p w14:paraId="11D1E081" w14:textId="77777777" w:rsidR="00CF556D" w:rsidRPr="003E07A3" w:rsidRDefault="00CF556D" w:rsidP="00CF556D">
      <w:pPr>
        <w:jc w:val="both"/>
        <w:rPr>
          <w:rFonts w:asciiTheme="majorHAnsi" w:hAnsiTheme="majorHAnsi"/>
          <w:sz w:val="16"/>
          <w:szCs w:val="16"/>
        </w:rPr>
      </w:pPr>
    </w:p>
    <w:p w14:paraId="3B9E5EAD" w14:textId="77777777" w:rsidR="00CF556D" w:rsidRPr="003E07A3" w:rsidRDefault="00CF556D" w:rsidP="00CF556D">
      <w:pPr>
        <w:jc w:val="both"/>
        <w:rPr>
          <w:rFonts w:asciiTheme="majorHAnsi" w:hAnsiTheme="majorHAnsi"/>
          <w:b/>
        </w:rPr>
      </w:pPr>
      <w:r w:rsidRPr="003E07A3">
        <w:rPr>
          <w:rFonts w:asciiTheme="majorHAnsi" w:hAnsiTheme="majorHAnsi"/>
          <w:b/>
        </w:rPr>
        <w:t>QUOTA 100 NON E’ QUOTA 100</w:t>
      </w:r>
    </w:p>
    <w:p w14:paraId="45A2D3F6" w14:textId="13712CD4" w:rsidR="00CF556D" w:rsidRPr="003E07A3" w:rsidRDefault="003E07A3" w:rsidP="00CF556D">
      <w:pPr>
        <w:jc w:val="both"/>
        <w:rPr>
          <w:rFonts w:asciiTheme="majorHAnsi" w:hAnsiTheme="majorHAnsi"/>
        </w:rPr>
      </w:pPr>
      <w:r w:rsidRPr="003E07A3">
        <w:rPr>
          <w:rFonts w:asciiTheme="majorHAnsi" w:hAnsiTheme="majorHAnsi"/>
        </w:rPr>
        <w:t>S</w:t>
      </w:r>
      <w:r w:rsidR="00CF556D" w:rsidRPr="003E07A3">
        <w:rPr>
          <w:rFonts w:asciiTheme="majorHAnsi" w:hAnsiTheme="majorHAnsi"/>
        </w:rPr>
        <w:t>i fissano</w:t>
      </w:r>
      <w:r w:rsidRPr="003E07A3">
        <w:rPr>
          <w:rFonts w:asciiTheme="majorHAnsi" w:hAnsiTheme="majorHAnsi"/>
        </w:rPr>
        <w:t xml:space="preserve"> poi</w:t>
      </w:r>
      <w:r w:rsidR="00CF556D" w:rsidRPr="003E07A3">
        <w:rPr>
          <w:rFonts w:asciiTheme="majorHAnsi" w:hAnsiTheme="majorHAnsi"/>
        </w:rPr>
        <w:t xml:space="preserve"> i due requisiti:  almeno 62 anni di età e almeno 38 di contributi, che devono essere rispettati entrambi. Quota 100 </w:t>
      </w:r>
      <w:r w:rsidR="00617672" w:rsidRPr="003E07A3">
        <w:rPr>
          <w:rFonts w:asciiTheme="majorHAnsi" w:hAnsiTheme="majorHAnsi"/>
        </w:rPr>
        <w:t>non è dunque Quota 100: non si</w:t>
      </w:r>
      <w:r w:rsidR="00CF556D" w:rsidRPr="003E07A3">
        <w:rPr>
          <w:rFonts w:asciiTheme="majorHAnsi" w:hAnsiTheme="majorHAnsi"/>
        </w:rPr>
        <w:t xml:space="preserve"> può </w:t>
      </w:r>
      <w:r w:rsidR="00617672" w:rsidRPr="003E07A3">
        <w:rPr>
          <w:rFonts w:asciiTheme="majorHAnsi" w:hAnsiTheme="majorHAnsi"/>
        </w:rPr>
        <w:t xml:space="preserve">accedere alla pensione </w:t>
      </w:r>
      <w:r w:rsidR="00CF556D" w:rsidRPr="003E07A3">
        <w:rPr>
          <w:rFonts w:asciiTheme="majorHAnsi" w:hAnsiTheme="majorHAnsi"/>
        </w:rPr>
        <w:t>ad esempio con 37 di contributi</w:t>
      </w:r>
      <w:r w:rsidR="008B7CC0">
        <w:rPr>
          <w:rFonts w:asciiTheme="majorHAnsi" w:hAnsiTheme="majorHAnsi"/>
        </w:rPr>
        <w:t xml:space="preserve"> e 63 di età</w:t>
      </w:r>
      <w:r w:rsidR="00CF556D" w:rsidRPr="003E07A3">
        <w:rPr>
          <w:rFonts w:asciiTheme="majorHAnsi" w:hAnsiTheme="majorHAnsi"/>
        </w:rPr>
        <w:t>, per il doppio p</w:t>
      </w:r>
      <w:r w:rsidR="008B7CC0">
        <w:rPr>
          <w:rFonts w:asciiTheme="majorHAnsi" w:hAnsiTheme="majorHAnsi"/>
        </w:rPr>
        <w:t xml:space="preserve">aletto. Il requisito anagrafico – i 62 anni- è </w:t>
      </w:r>
      <w:r w:rsidR="00CF556D" w:rsidRPr="003E07A3">
        <w:rPr>
          <w:rFonts w:asciiTheme="majorHAnsi" w:hAnsiTheme="majorHAnsi"/>
        </w:rPr>
        <w:t>inoltre agganciato a</w:t>
      </w:r>
      <w:r w:rsidR="008B7CC0">
        <w:rPr>
          <w:rFonts w:asciiTheme="majorHAnsi" w:hAnsiTheme="majorHAnsi"/>
        </w:rPr>
        <w:t>i</w:t>
      </w:r>
      <w:r w:rsidR="00CF556D" w:rsidRPr="003E07A3">
        <w:rPr>
          <w:rFonts w:asciiTheme="majorHAnsi" w:hAnsiTheme="majorHAnsi"/>
        </w:rPr>
        <w:t xml:space="preserve"> successivi aumenti legati al meccanismo dell’adeguamento all’aspettativa di vita. </w:t>
      </w:r>
    </w:p>
    <w:p w14:paraId="12AA584A" w14:textId="77777777" w:rsidR="00CF556D" w:rsidRPr="003E07A3" w:rsidRDefault="00CF556D" w:rsidP="00CF556D">
      <w:pPr>
        <w:jc w:val="both"/>
        <w:rPr>
          <w:rFonts w:asciiTheme="majorHAnsi" w:hAnsiTheme="majorHAnsi"/>
          <w:sz w:val="16"/>
          <w:szCs w:val="16"/>
        </w:rPr>
      </w:pPr>
    </w:p>
    <w:p w14:paraId="2C09D325" w14:textId="77777777" w:rsidR="00CF556D" w:rsidRPr="003E07A3" w:rsidRDefault="00CF556D" w:rsidP="00CF556D">
      <w:pPr>
        <w:jc w:val="both"/>
        <w:rPr>
          <w:rFonts w:asciiTheme="majorHAnsi" w:hAnsiTheme="majorHAnsi"/>
          <w:b/>
        </w:rPr>
      </w:pPr>
      <w:r w:rsidRPr="003E07A3">
        <w:rPr>
          <w:rFonts w:asciiTheme="majorHAnsi" w:hAnsiTheme="majorHAnsi"/>
          <w:b/>
        </w:rPr>
        <w:t>L’ASPETTATIVA DI VITA</w:t>
      </w:r>
    </w:p>
    <w:p w14:paraId="1914A5D6" w14:textId="421C3A6E" w:rsidR="008B7CC0" w:rsidRDefault="00CF556D" w:rsidP="00CF556D">
      <w:pPr>
        <w:jc w:val="both"/>
        <w:rPr>
          <w:rFonts w:asciiTheme="majorHAnsi" w:hAnsiTheme="majorHAnsi"/>
        </w:rPr>
      </w:pPr>
      <w:r w:rsidRPr="003E07A3">
        <w:rPr>
          <w:rFonts w:asciiTheme="majorHAnsi" w:hAnsiTheme="majorHAnsi"/>
        </w:rPr>
        <w:t>L’adeguamento all’aspettativa di vita resta come meccanismo gene</w:t>
      </w:r>
      <w:r w:rsidR="00617672" w:rsidRPr="003E07A3">
        <w:rPr>
          <w:rFonts w:asciiTheme="majorHAnsi" w:hAnsiTheme="majorHAnsi"/>
        </w:rPr>
        <w:t xml:space="preserve">rale per i requisiti anagrafici e </w:t>
      </w:r>
      <w:r w:rsidR="002A3527">
        <w:rPr>
          <w:rFonts w:asciiTheme="majorHAnsi" w:hAnsiTheme="majorHAnsi"/>
        </w:rPr>
        <w:t>per la pensione di vecchiaia</w:t>
      </w:r>
      <w:r w:rsidR="008B7CC0">
        <w:rPr>
          <w:rFonts w:asciiTheme="majorHAnsi" w:hAnsiTheme="majorHAnsi"/>
        </w:rPr>
        <w:t xml:space="preserve">: a gennaio 2019 si passa quindi da 66 anni e 7 mesi a 67 anni, e resta la previsione di ulteriori futuri aumenti. </w:t>
      </w:r>
      <w:r w:rsidR="0031235B">
        <w:rPr>
          <w:rFonts w:asciiTheme="majorHAnsi" w:hAnsiTheme="majorHAnsi"/>
        </w:rPr>
        <w:t xml:space="preserve"> </w:t>
      </w:r>
      <w:r w:rsidR="008B7CC0">
        <w:rPr>
          <w:rFonts w:asciiTheme="majorHAnsi" w:hAnsiTheme="majorHAnsi"/>
        </w:rPr>
        <w:t xml:space="preserve"> </w:t>
      </w:r>
    </w:p>
    <w:p w14:paraId="4036AC57" w14:textId="79CBE7FC" w:rsidR="00707F81" w:rsidRPr="003E07A3" w:rsidRDefault="008B7CC0" w:rsidP="00CF556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L’adeguamento viene </w:t>
      </w:r>
      <w:r w:rsidR="00CF556D" w:rsidRPr="003E07A3">
        <w:rPr>
          <w:rFonts w:asciiTheme="majorHAnsi" w:hAnsiTheme="majorHAnsi"/>
        </w:rPr>
        <w:t>cancellato esclusivamente per il requisito contributivo relativo al cosiddetto accesso al pensionamento anticipato indipendente dall’età. In sostanza si blocca a</w:t>
      </w:r>
      <w:r w:rsidR="0031235B">
        <w:rPr>
          <w:rFonts w:asciiTheme="majorHAnsi" w:hAnsiTheme="majorHAnsi"/>
        </w:rPr>
        <w:t>i requisiti esistenti nel 2018 (</w:t>
      </w:r>
      <w:r w:rsidR="00CF556D" w:rsidRPr="003E07A3">
        <w:rPr>
          <w:rFonts w:asciiTheme="majorHAnsi" w:hAnsiTheme="majorHAnsi"/>
        </w:rPr>
        <w:t xml:space="preserve"> 42 anni e 10 mesi per gli uomini e </w:t>
      </w:r>
      <w:r w:rsidR="0031235B">
        <w:rPr>
          <w:rFonts w:asciiTheme="majorHAnsi" w:hAnsiTheme="majorHAnsi"/>
        </w:rPr>
        <w:t>41 anni e 10 mesi per le donne )</w:t>
      </w:r>
      <w:r w:rsidR="00CF556D" w:rsidRPr="003E07A3">
        <w:rPr>
          <w:rFonts w:asciiTheme="majorHAnsi" w:hAnsiTheme="majorHAnsi"/>
        </w:rPr>
        <w:t xml:space="preserve"> l’anzianità contributiva</w:t>
      </w:r>
      <w:r w:rsidR="004008B3" w:rsidRPr="003E07A3">
        <w:rPr>
          <w:rFonts w:asciiTheme="majorHAnsi" w:hAnsiTheme="majorHAnsi"/>
        </w:rPr>
        <w:t xml:space="preserve"> necessaria</w:t>
      </w:r>
      <w:r w:rsidR="00DE1059" w:rsidRPr="003E07A3">
        <w:rPr>
          <w:rFonts w:asciiTheme="majorHAnsi" w:hAnsiTheme="majorHAnsi"/>
        </w:rPr>
        <w:t xml:space="preserve"> per </w:t>
      </w:r>
      <w:r w:rsidR="0031235B">
        <w:rPr>
          <w:rFonts w:asciiTheme="majorHAnsi" w:hAnsiTheme="majorHAnsi"/>
        </w:rPr>
        <w:t xml:space="preserve">la </w:t>
      </w:r>
      <w:r w:rsidR="00DE1059" w:rsidRPr="003E07A3">
        <w:rPr>
          <w:rFonts w:asciiTheme="majorHAnsi" w:hAnsiTheme="majorHAnsi"/>
        </w:rPr>
        <w:t xml:space="preserve">pensione </w:t>
      </w:r>
      <w:r w:rsidR="00CF556D" w:rsidRPr="003E07A3">
        <w:rPr>
          <w:rFonts w:asciiTheme="majorHAnsi" w:hAnsiTheme="majorHAnsi"/>
        </w:rPr>
        <w:t>anticipata</w:t>
      </w:r>
      <w:r>
        <w:rPr>
          <w:rFonts w:asciiTheme="majorHAnsi" w:hAnsiTheme="majorHAnsi"/>
        </w:rPr>
        <w:t xml:space="preserve">. Vengono inoltre esclusi dagli incrementi </w:t>
      </w:r>
      <w:r w:rsidR="0031235B">
        <w:rPr>
          <w:rFonts w:asciiTheme="majorHAnsi" w:hAnsiTheme="majorHAnsi"/>
        </w:rPr>
        <w:t xml:space="preserve"> </w:t>
      </w:r>
      <w:r w:rsidR="00CF556D" w:rsidRPr="003E07A3">
        <w:rPr>
          <w:rFonts w:asciiTheme="majorHAnsi" w:hAnsiTheme="majorHAnsi"/>
        </w:rPr>
        <w:t xml:space="preserve">i lavoratori precoci (coloro i quali hanno svolto almeno un anno di lavoro prima dei 19 anni) </w:t>
      </w:r>
      <w:r>
        <w:rPr>
          <w:rFonts w:asciiTheme="majorHAnsi" w:hAnsiTheme="majorHAnsi"/>
        </w:rPr>
        <w:t>equiparati in questo modo al</w:t>
      </w:r>
      <w:r w:rsidR="00CF556D" w:rsidRPr="003E07A3">
        <w:rPr>
          <w:rFonts w:asciiTheme="majorHAnsi" w:hAnsiTheme="majorHAnsi"/>
        </w:rPr>
        <w:t xml:space="preserve">le 15 categorie </w:t>
      </w:r>
      <w:r>
        <w:rPr>
          <w:rFonts w:asciiTheme="majorHAnsi" w:hAnsiTheme="majorHAnsi"/>
        </w:rPr>
        <w:t>di lavori usuranti e gravosi, definite dalla legge  205/2017 (</w:t>
      </w:r>
      <w:r w:rsidR="00CF556D" w:rsidRPr="003E07A3">
        <w:rPr>
          <w:rFonts w:asciiTheme="majorHAnsi" w:hAnsiTheme="majorHAnsi"/>
        </w:rPr>
        <w:t xml:space="preserve">che usufruiscono delle agevolazioni se hanno almeno 30 anni di contributi ed hanno svolto quell’attività per almeno 7 anni negli ultimi 10).  </w:t>
      </w:r>
    </w:p>
    <w:p w14:paraId="36D014D1" w14:textId="77777777" w:rsidR="00CF556D" w:rsidRPr="003E07A3" w:rsidRDefault="00CF556D" w:rsidP="00CF556D">
      <w:pPr>
        <w:jc w:val="both"/>
        <w:rPr>
          <w:rFonts w:asciiTheme="majorHAnsi" w:hAnsiTheme="majorHAnsi"/>
          <w:sz w:val="16"/>
          <w:szCs w:val="16"/>
        </w:rPr>
      </w:pPr>
    </w:p>
    <w:p w14:paraId="67BB7276" w14:textId="77777777" w:rsidR="00DE1059" w:rsidRPr="003E07A3" w:rsidRDefault="00CF556D" w:rsidP="00CF556D">
      <w:pPr>
        <w:jc w:val="both"/>
        <w:rPr>
          <w:rFonts w:asciiTheme="majorHAnsi" w:hAnsiTheme="majorHAnsi"/>
          <w:b/>
        </w:rPr>
      </w:pPr>
      <w:r w:rsidRPr="003E07A3">
        <w:rPr>
          <w:rFonts w:asciiTheme="majorHAnsi" w:hAnsiTheme="majorHAnsi"/>
          <w:b/>
        </w:rPr>
        <w:t>LE FINESTRE. PUBBLICI E PRIVATI</w:t>
      </w:r>
    </w:p>
    <w:p w14:paraId="1D22FF39" w14:textId="2C8E7F5F" w:rsidR="00CF556D" w:rsidRPr="003E07A3" w:rsidRDefault="00CF556D" w:rsidP="00CF556D">
      <w:pPr>
        <w:jc w:val="both"/>
        <w:rPr>
          <w:rFonts w:asciiTheme="majorHAnsi" w:hAnsiTheme="majorHAnsi"/>
          <w:b/>
        </w:rPr>
      </w:pPr>
      <w:r w:rsidRPr="003E07A3">
        <w:rPr>
          <w:rFonts w:asciiTheme="majorHAnsi" w:hAnsiTheme="majorHAnsi"/>
        </w:rPr>
        <w:t>La cancellazione dell’aumento legato all’aspettativa di vita per chi va in pensione anticipata con 42 anni e 10 mesi (uomini) o 41 anni e 10 mesi (donne) e per i lavorator</w:t>
      </w:r>
      <w:r w:rsidR="006A0D2B">
        <w:rPr>
          <w:rFonts w:asciiTheme="majorHAnsi" w:hAnsiTheme="majorHAnsi"/>
        </w:rPr>
        <w:t xml:space="preserve">i precoci è tuttavia sottoposta </w:t>
      </w:r>
      <w:r w:rsidRPr="003E07A3">
        <w:rPr>
          <w:rFonts w:asciiTheme="majorHAnsi" w:hAnsiTheme="majorHAnsi"/>
        </w:rPr>
        <w:t>al meccanismo reintrodotto delle “finestre”, cioè del periodo che intercorre tra la maturazione dei requisiti e il diritto alla decorrenza della pensione</w:t>
      </w:r>
      <w:r w:rsidR="00761A96" w:rsidRPr="003E07A3">
        <w:rPr>
          <w:rFonts w:asciiTheme="majorHAnsi" w:hAnsiTheme="majorHAnsi"/>
        </w:rPr>
        <w:t>. Le finestre sono trimestrali per i dipendenti privati e semestrali per quelli pubblici:</w:t>
      </w:r>
      <w:r w:rsidRPr="003E07A3">
        <w:rPr>
          <w:rFonts w:asciiTheme="majorHAnsi" w:hAnsiTheme="majorHAnsi"/>
        </w:rPr>
        <w:t xml:space="preserve"> lo “sc</w:t>
      </w:r>
      <w:r w:rsidR="00DE1059" w:rsidRPr="003E07A3">
        <w:rPr>
          <w:rFonts w:asciiTheme="majorHAnsi" w:hAnsiTheme="majorHAnsi"/>
        </w:rPr>
        <w:t xml:space="preserve">onto” si riduce quindi a 2 mesi per i lavoratori privati, mentre per i pubblici addirittura si peggiora di un mese. </w:t>
      </w:r>
    </w:p>
    <w:p w14:paraId="62A5E5D4" w14:textId="77777777" w:rsidR="00CF556D" w:rsidRPr="003E07A3" w:rsidRDefault="00617672" w:rsidP="00CF556D">
      <w:pPr>
        <w:jc w:val="both"/>
        <w:rPr>
          <w:rFonts w:asciiTheme="majorHAnsi" w:hAnsiTheme="majorHAnsi"/>
        </w:rPr>
      </w:pPr>
      <w:r w:rsidRPr="003E07A3">
        <w:rPr>
          <w:rFonts w:asciiTheme="majorHAnsi" w:hAnsiTheme="majorHAnsi"/>
        </w:rPr>
        <w:lastRenderedPageBreak/>
        <w:t>La motivazione addotta per la differenziazione tra pubblici e privati, riguarda la ne</w:t>
      </w:r>
      <w:r w:rsidR="009C42AF" w:rsidRPr="003E07A3">
        <w:rPr>
          <w:rFonts w:asciiTheme="majorHAnsi" w:hAnsiTheme="majorHAnsi"/>
        </w:rPr>
        <w:t>cessità di garantire i servizi</w:t>
      </w:r>
      <w:r w:rsidR="00761A96" w:rsidRPr="003E07A3">
        <w:rPr>
          <w:rFonts w:asciiTheme="majorHAnsi" w:hAnsiTheme="majorHAnsi"/>
        </w:rPr>
        <w:t xml:space="preserve"> essenziali</w:t>
      </w:r>
      <w:r w:rsidR="009C42AF" w:rsidRPr="003E07A3">
        <w:rPr>
          <w:rFonts w:asciiTheme="majorHAnsi" w:hAnsiTheme="majorHAnsi"/>
        </w:rPr>
        <w:t>:</w:t>
      </w:r>
      <w:r w:rsidRPr="003E07A3">
        <w:rPr>
          <w:rFonts w:asciiTheme="majorHAnsi" w:hAnsiTheme="majorHAnsi"/>
        </w:rPr>
        <w:t xml:space="preserve"> in palese contrasto </w:t>
      </w:r>
      <w:r w:rsidR="009C42AF" w:rsidRPr="003E07A3">
        <w:rPr>
          <w:rFonts w:asciiTheme="majorHAnsi" w:hAnsiTheme="majorHAnsi"/>
        </w:rPr>
        <w:t xml:space="preserve">con il nuovo blocco delle assunzioni nel pubblico fino a novembre 2019 </w:t>
      </w:r>
      <w:r w:rsidR="00DE1059" w:rsidRPr="003E07A3">
        <w:rPr>
          <w:rFonts w:asciiTheme="majorHAnsi" w:hAnsiTheme="majorHAnsi"/>
        </w:rPr>
        <w:t xml:space="preserve">stabilito dalla </w:t>
      </w:r>
      <w:r w:rsidR="009C42AF" w:rsidRPr="003E07A3">
        <w:rPr>
          <w:rFonts w:asciiTheme="majorHAnsi" w:hAnsiTheme="majorHAnsi"/>
        </w:rPr>
        <w:t xml:space="preserve">manovra. </w:t>
      </w:r>
    </w:p>
    <w:p w14:paraId="116ED1BB" w14:textId="1CDC1C70" w:rsidR="009C42AF" w:rsidRPr="003E07A3" w:rsidRDefault="009C42AF" w:rsidP="00CF556D">
      <w:pPr>
        <w:jc w:val="both"/>
        <w:rPr>
          <w:rFonts w:asciiTheme="majorHAnsi" w:hAnsiTheme="majorHAnsi"/>
        </w:rPr>
      </w:pPr>
      <w:r w:rsidRPr="003E07A3">
        <w:rPr>
          <w:rFonts w:asciiTheme="majorHAnsi" w:hAnsiTheme="majorHAnsi"/>
        </w:rPr>
        <w:t>I dipendenti pubblici sono penalizzati anche dal rinvio del pagamento del TFR che viene posticipato a</w:t>
      </w:r>
      <w:r w:rsidR="00DE1059" w:rsidRPr="003E07A3">
        <w:rPr>
          <w:rFonts w:asciiTheme="majorHAnsi" w:hAnsiTheme="majorHAnsi"/>
        </w:rPr>
        <w:t>lla data in cui</w:t>
      </w:r>
      <w:r w:rsidRPr="003E07A3">
        <w:rPr>
          <w:rFonts w:asciiTheme="majorHAnsi" w:hAnsiTheme="majorHAnsi"/>
        </w:rPr>
        <w:t xml:space="preserve"> la lavoratrice o il lavora</w:t>
      </w:r>
      <w:r w:rsidR="00DE1059" w:rsidRPr="003E07A3">
        <w:rPr>
          <w:rFonts w:asciiTheme="majorHAnsi" w:hAnsiTheme="majorHAnsi"/>
        </w:rPr>
        <w:t>tore sarebbe andato in pensione</w:t>
      </w:r>
      <w:r w:rsidRPr="003E07A3">
        <w:rPr>
          <w:rFonts w:asciiTheme="majorHAnsi" w:hAnsiTheme="majorHAnsi"/>
        </w:rPr>
        <w:t xml:space="preserve"> sen</w:t>
      </w:r>
      <w:r w:rsidR="00B56E62">
        <w:rPr>
          <w:rFonts w:asciiTheme="majorHAnsi" w:hAnsiTheme="majorHAnsi"/>
        </w:rPr>
        <w:t xml:space="preserve">za quota 100, anche di </w:t>
      </w:r>
      <w:r w:rsidRPr="003E07A3">
        <w:rPr>
          <w:rFonts w:asciiTheme="majorHAnsi" w:hAnsiTheme="majorHAnsi"/>
        </w:rPr>
        <w:t>5 anni. N</w:t>
      </w:r>
      <w:r w:rsidR="00DE1059" w:rsidRPr="003E07A3">
        <w:rPr>
          <w:rFonts w:asciiTheme="majorHAnsi" w:hAnsiTheme="majorHAnsi"/>
        </w:rPr>
        <w:t xml:space="preserve">ella prima bozza </w:t>
      </w:r>
      <w:r w:rsidRPr="003E07A3">
        <w:rPr>
          <w:rFonts w:asciiTheme="majorHAnsi" w:hAnsiTheme="majorHAnsi"/>
        </w:rPr>
        <w:t>si f</w:t>
      </w:r>
      <w:r w:rsidR="00C0404C" w:rsidRPr="003E07A3">
        <w:rPr>
          <w:rFonts w:asciiTheme="majorHAnsi" w:hAnsiTheme="majorHAnsi"/>
        </w:rPr>
        <w:t>a</w:t>
      </w:r>
      <w:r w:rsidR="00DE1059" w:rsidRPr="003E07A3">
        <w:rPr>
          <w:rFonts w:asciiTheme="majorHAnsi" w:hAnsiTheme="majorHAnsi"/>
        </w:rPr>
        <w:t>ceva</w:t>
      </w:r>
      <w:r w:rsidR="00C0404C" w:rsidRPr="003E07A3">
        <w:rPr>
          <w:rFonts w:asciiTheme="majorHAnsi" w:hAnsiTheme="majorHAnsi"/>
        </w:rPr>
        <w:t xml:space="preserve"> riferimento a convenzioni con le banche</w:t>
      </w:r>
      <w:r w:rsidR="002B0F1B" w:rsidRPr="003E07A3">
        <w:rPr>
          <w:rFonts w:asciiTheme="majorHAnsi" w:hAnsiTheme="majorHAnsi"/>
        </w:rPr>
        <w:t xml:space="preserve"> per </w:t>
      </w:r>
      <w:r w:rsidR="00DE1059" w:rsidRPr="003E07A3">
        <w:rPr>
          <w:rFonts w:asciiTheme="majorHAnsi" w:hAnsiTheme="majorHAnsi"/>
        </w:rPr>
        <w:t xml:space="preserve">l’erogazione anticipata del TFR. Nella seconda si parla soltanto di un decreto attuativo, “senza oneri a carico della finanza pubblica”, che quindi </w:t>
      </w:r>
      <w:r w:rsidR="002B0F1B" w:rsidRPr="003E07A3">
        <w:rPr>
          <w:rFonts w:asciiTheme="majorHAnsi" w:hAnsiTheme="majorHAnsi"/>
        </w:rPr>
        <w:t xml:space="preserve">scarica gli interessi sui lavoratori. </w:t>
      </w:r>
    </w:p>
    <w:p w14:paraId="6370B2FF" w14:textId="77777777" w:rsidR="00CF556D" w:rsidRPr="003E07A3" w:rsidRDefault="00CF556D" w:rsidP="00CF556D">
      <w:pPr>
        <w:jc w:val="both"/>
        <w:rPr>
          <w:rFonts w:asciiTheme="majorHAnsi" w:hAnsiTheme="majorHAnsi"/>
          <w:sz w:val="16"/>
          <w:szCs w:val="16"/>
        </w:rPr>
      </w:pPr>
    </w:p>
    <w:p w14:paraId="758FC616" w14:textId="659D1A82" w:rsidR="00CF556D" w:rsidRPr="003E07A3" w:rsidRDefault="00A35C12" w:rsidP="00CF556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PROROGA DI </w:t>
      </w:r>
      <w:r w:rsidR="00CF556D" w:rsidRPr="003E07A3">
        <w:rPr>
          <w:rFonts w:asciiTheme="majorHAnsi" w:hAnsiTheme="majorHAnsi"/>
          <w:b/>
        </w:rPr>
        <w:t>APE SOCIAL</w:t>
      </w:r>
      <w:r w:rsidR="002B0F1B" w:rsidRPr="003E07A3">
        <w:rPr>
          <w:rFonts w:asciiTheme="majorHAnsi" w:hAnsiTheme="majorHAnsi"/>
          <w:b/>
        </w:rPr>
        <w:t>E</w:t>
      </w:r>
    </w:p>
    <w:p w14:paraId="27AF37F3" w14:textId="433BC8C2" w:rsidR="002B0F1B" w:rsidRPr="003E07A3" w:rsidRDefault="002B0F1B" w:rsidP="00094315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3E07A3">
        <w:rPr>
          <w:rFonts w:asciiTheme="majorHAnsi" w:hAnsiTheme="majorHAnsi"/>
        </w:rPr>
        <w:t>Viene prorogata di un anno l’Ape Social ricalcando i termini</w:t>
      </w:r>
      <w:r w:rsidR="00E86ABF" w:rsidRPr="003E07A3">
        <w:rPr>
          <w:rFonts w:asciiTheme="majorHAnsi" w:hAnsiTheme="majorHAnsi"/>
        </w:rPr>
        <w:t xml:space="preserve"> con i quali è stata istituita. Come è noto l’AS ha previsto </w:t>
      </w:r>
      <w:r w:rsidR="00E86ABF" w:rsidRPr="003E07A3">
        <w:rPr>
          <w:rFonts w:asciiTheme="majorHAnsi" w:hAnsiTheme="majorHAnsi" w:cs="Calibri"/>
        </w:rPr>
        <w:t xml:space="preserve">la possibilità per le persone che abbiano compiuto 63 anni di andare in pensione se in una delle seguenti condizioni: disoccupati che abbiano concluso l’indennità di disoccupazione da tre mesi, con almeno 30 anni di contributi; lavoratori che assistano familiari conviventi di 1°grado con disabilità grave da almeno 6 mesi e con almeno 30 anni di contributi; lavoratori con invalidità uguale o superiore al 74% con almeno 30 anni di contributi; lavoratori che svolgano un lavoro particolarmente gravoso o l’abbiano svolto per 6 anni negli ultimi 7 con 36 anni di contributi. Sono requisiti strettissimi </w:t>
      </w:r>
      <w:r w:rsidR="00094315" w:rsidRPr="003E07A3">
        <w:rPr>
          <w:rFonts w:asciiTheme="majorHAnsi" w:hAnsiTheme="majorHAnsi" w:cs="Calibri"/>
        </w:rPr>
        <w:t>e interpretati restrittivamente</w:t>
      </w:r>
      <w:r w:rsidR="008B7CC0">
        <w:rPr>
          <w:rFonts w:asciiTheme="majorHAnsi" w:hAnsiTheme="majorHAnsi" w:cs="Calibri"/>
        </w:rPr>
        <w:t>,</w:t>
      </w:r>
      <w:r w:rsidR="00094315" w:rsidRPr="003E07A3">
        <w:rPr>
          <w:rFonts w:asciiTheme="majorHAnsi" w:hAnsiTheme="majorHAnsi" w:cs="Calibri"/>
        </w:rPr>
        <w:t xml:space="preserve"> in particolare per quel che riguarda le lavoratrici e i lavoratori disoccupati. Il che ha comportato - secondo i dati Inps del novembre 2018 - l’accoglimento di poco più di 33mila doma</w:t>
      </w:r>
      <w:r w:rsidR="00761A96" w:rsidRPr="003E07A3">
        <w:rPr>
          <w:rFonts w:asciiTheme="majorHAnsi" w:hAnsiTheme="majorHAnsi" w:cs="Calibri"/>
        </w:rPr>
        <w:t>ne su un totale di oltre 87mila</w:t>
      </w:r>
      <w:r w:rsidR="00B86915">
        <w:rPr>
          <w:rFonts w:asciiTheme="majorHAnsi" w:hAnsiTheme="majorHAnsi" w:cs="Calibri"/>
        </w:rPr>
        <w:t xml:space="preserve"> (il 38%)</w:t>
      </w:r>
      <w:r w:rsidR="00761A96" w:rsidRPr="003E07A3">
        <w:rPr>
          <w:rFonts w:asciiTheme="majorHAnsi" w:hAnsiTheme="majorHAnsi" w:cs="Calibri"/>
        </w:rPr>
        <w:t xml:space="preserve">, </w:t>
      </w:r>
      <w:r w:rsidR="00094315" w:rsidRPr="003E07A3">
        <w:rPr>
          <w:rFonts w:asciiTheme="majorHAnsi" w:hAnsiTheme="majorHAnsi" w:cs="Calibri"/>
        </w:rPr>
        <w:t>tra novembre 2017 e luglio 2018</w:t>
      </w:r>
      <w:r w:rsidR="00B86915">
        <w:rPr>
          <w:rFonts w:asciiTheme="majorHAnsi" w:hAnsiTheme="majorHAnsi" w:cs="Calibri"/>
        </w:rPr>
        <w:t>.</w:t>
      </w:r>
      <w:r w:rsidR="00094315" w:rsidRPr="003E07A3">
        <w:rPr>
          <w:rFonts w:asciiTheme="majorHAnsi" w:hAnsiTheme="majorHAnsi" w:cs="Calibri"/>
        </w:rPr>
        <w:t xml:space="preserve"> </w:t>
      </w:r>
    </w:p>
    <w:p w14:paraId="080225CB" w14:textId="77777777" w:rsidR="00CF556D" w:rsidRPr="003E07A3" w:rsidRDefault="00CF556D" w:rsidP="00CF556D">
      <w:pPr>
        <w:jc w:val="both"/>
        <w:rPr>
          <w:rFonts w:asciiTheme="majorHAnsi" w:hAnsiTheme="majorHAnsi"/>
          <w:sz w:val="16"/>
          <w:szCs w:val="16"/>
        </w:rPr>
      </w:pPr>
    </w:p>
    <w:p w14:paraId="55709F48" w14:textId="570ED78C" w:rsidR="00CF556D" w:rsidRPr="003E07A3" w:rsidRDefault="00A35C12" w:rsidP="00CF556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PROROGA DI </w:t>
      </w:r>
      <w:r w:rsidR="00CF556D" w:rsidRPr="003E07A3">
        <w:rPr>
          <w:rFonts w:asciiTheme="majorHAnsi" w:hAnsiTheme="majorHAnsi"/>
          <w:b/>
        </w:rPr>
        <w:t>OPZIONE DONNA</w:t>
      </w:r>
    </w:p>
    <w:p w14:paraId="5C9B7262" w14:textId="7D9265ED" w:rsidR="00BC247A" w:rsidRPr="003E07A3" w:rsidRDefault="00C1515D" w:rsidP="000461C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3E07A3">
        <w:rPr>
          <w:rFonts w:asciiTheme="majorHAnsi" w:hAnsiTheme="majorHAnsi" w:cs="Times New Roman"/>
        </w:rPr>
        <w:t>Nella bozza del decreto è previ</w:t>
      </w:r>
      <w:r w:rsidR="000461C0" w:rsidRPr="003E07A3">
        <w:rPr>
          <w:rFonts w:asciiTheme="majorHAnsi" w:hAnsiTheme="majorHAnsi" w:cs="Times New Roman"/>
        </w:rPr>
        <w:t>s</w:t>
      </w:r>
      <w:r w:rsidR="00BC247A" w:rsidRPr="003E07A3">
        <w:rPr>
          <w:rFonts w:asciiTheme="majorHAnsi" w:hAnsiTheme="majorHAnsi" w:cs="Times New Roman"/>
        </w:rPr>
        <w:t xml:space="preserve">ta anche la proroga di Opzione donna, con la possibilità di accedere alla pensione </w:t>
      </w:r>
      <w:r w:rsidR="000461C0" w:rsidRPr="003E07A3">
        <w:rPr>
          <w:rFonts w:asciiTheme="majorHAnsi" w:hAnsiTheme="majorHAnsi" w:cs="Times New Roman"/>
        </w:rPr>
        <w:t>per le lavoratrici dipendenti nate entro il 31 dicembre 1960 e quelle autonome</w:t>
      </w:r>
      <w:r w:rsidR="00B86915">
        <w:rPr>
          <w:rFonts w:asciiTheme="majorHAnsi" w:hAnsiTheme="majorHAnsi" w:cs="Times New Roman"/>
        </w:rPr>
        <w:t xml:space="preserve"> nate entro il 31 dicembre 1959</w:t>
      </w:r>
      <w:r w:rsidR="00BC247A" w:rsidRPr="003E07A3">
        <w:rPr>
          <w:rFonts w:asciiTheme="majorHAnsi" w:hAnsiTheme="majorHAnsi" w:cs="Times New Roman"/>
        </w:rPr>
        <w:t xml:space="preserve"> -</w:t>
      </w:r>
      <w:r w:rsidR="000461C0" w:rsidRPr="003E07A3">
        <w:rPr>
          <w:rFonts w:asciiTheme="majorHAnsi" w:hAnsiTheme="majorHAnsi" w:cs="Times New Roman"/>
        </w:rPr>
        <w:t xml:space="preserve"> quindi rispettivam</w:t>
      </w:r>
      <w:r w:rsidR="00BC247A" w:rsidRPr="003E07A3">
        <w:rPr>
          <w:rFonts w:asciiTheme="majorHAnsi" w:hAnsiTheme="majorHAnsi" w:cs="Times New Roman"/>
        </w:rPr>
        <w:t>ente con 58 e 59 anni di età -  con</w:t>
      </w:r>
      <w:r w:rsidR="000461C0" w:rsidRPr="003E07A3">
        <w:rPr>
          <w:rFonts w:asciiTheme="majorHAnsi" w:hAnsiTheme="majorHAnsi" w:cs="Times New Roman"/>
        </w:rPr>
        <w:t xml:space="preserve"> almeno 35 anni di contributi maturati entro il 31 dicembre 2018.  </w:t>
      </w:r>
      <w:r w:rsidR="00BC247A" w:rsidRPr="003E07A3">
        <w:rPr>
          <w:rFonts w:asciiTheme="majorHAnsi" w:hAnsiTheme="majorHAnsi" w:cs="Times New Roman"/>
        </w:rPr>
        <w:t xml:space="preserve">Opzione donna comporta come è noto il ricalcolo complessivo della pensione con il sistema contributivo, con una decurtazione media del 30%. Le finestre inoltre in questo caso continuano ad essere di 12 mesi per le lavoratrici dipendenti e 18 mesi per le lavoratrici autonome. </w:t>
      </w:r>
    </w:p>
    <w:p w14:paraId="2DC36D09" w14:textId="77777777" w:rsidR="00707F81" w:rsidRPr="00707F81" w:rsidRDefault="00BD5417" w:rsidP="00707F81">
      <w:pPr>
        <w:rPr>
          <w:rFonts w:asciiTheme="majorHAnsi" w:hAnsiTheme="majorHAnsi"/>
          <w:b/>
          <w:sz w:val="16"/>
          <w:szCs w:val="16"/>
        </w:rPr>
      </w:pPr>
      <w:r w:rsidRPr="00707F81">
        <w:rPr>
          <w:rFonts w:asciiTheme="majorHAnsi" w:hAnsiTheme="majorHAnsi" w:cs="Times New Roman"/>
          <w:sz w:val="16"/>
          <w:szCs w:val="16"/>
        </w:rPr>
        <w:br/>
      </w:r>
    </w:p>
    <w:p w14:paraId="13F28D79" w14:textId="6F700C65" w:rsidR="00BD5417" w:rsidRDefault="001E36C2" w:rsidP="00A35C12">
      <w:pPr>
        <w:jc w:val="center"/>
        <w:rPr>
          <w:rFonts w:asciiTheme="majorHAnsi" w:hAnsiTheme="majorHAnsi"/>
          <w:b/>
        </w:rPr>
      </w:pPr>
      <w:r w:rsidRPr="003E07A3">
        <w:rPr>
          <w:rFonts w:asciiTheme="majorHAnsi" w:hAnsiTheme="majorHAnsi"/>
          <w:b/>
        </w:rPr>
        <w:t>IN SINTESI</w:t>
      </w:r>
    </w:p>
    <w:p w14:paraId="455B0598" w14:textId="275A353C" w:rsidR="00707F81" w:rsidRPr="00707F81" w:rsidRDefault="00707F81" w:rsidP="00707F81">
      <w:pPr>
        <w:jc w:val="both"/>
        <w:rPr>
          <w:rFonts w:asciiTheme="majorHAnsi" w:hAnsiTheme="majorHAnsi"/>
        </w:rPr>
      </w:pPr>
      <w:r w:rsidRPr="00707F81">
        <w:rPr>
          <w:rFonts w:asciiTheme="majorHAnsi" w:hAnsiTheme="majorHAnsi"/>
        </w:rPr>
        <w:t xml:space="preserve">Quota 100, come il “reddito di cittadinanza” sono </w:t>
      </w:r>
      <w:r>
        <w:rPr>
          <w:rFonts w:asciiTheme="majorHAnsi" w:hAnsiTheme="majorHAnsi"/>
        </w:rPr>
        <w:t xml:space="preserve">sottoposte al rischio molto concreto di interventi peggiorativi, passate le elezioni europee, per la pesantezza delle clausole di salvaguardia che condizionano tutta la manovra del governo. </w:t>
      </w:r>
    </w:p>
    <w:p w14:paraId="0F3A3373" w14:textId="14F0A50E" w:rsidR="00707F81" w:rsidRDefault="00A35C12" w:rsidP="00761A9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Nel merito, è</w:t>
      </w:r>
      <w:r w:rsidR="00D81812" w:rsidRPr="003E07A3">
        <w:rPr>
          <w:rFonts w:asciiTheme="majorHAnsi" w:hAnsiTheme="majorHAnsi"/>
        </w:rPr>
        <w:t xml:space="preserve"> migliorativa</w:t>
      </w:r>
      <w:r w:rsidR="00761A96" w:rsidRPr="003E07A3">
        <w:rPr>
          <w:rFonts w:asciiTheme="majorHAnsi" w:hAnsiTheme="majorHAnsi"/>
        </w:rPr>
        <w:t xml:space="preserve"> rispetto alla disastrosa situazione esistente, </w:t>
      </w:r>
      <w:r w:rsidR="00D81812" w:rsidRPr="003E07A3">
        <w:rPr>
          <w:rFonts w:asciiTheme="majorHAnsi" w:hAnsiTheme="majorHAnsi"/>
        </w:rPr>
        <w:t xml:space="preserve">conseguente alla Legge Fornero  - </w:t>
      </w:r>
      <w:r w:rsidR="00761A96" w:rsidRPr="003E07A3">
        <w:rPr>
          <w:rFonts w:asciiTheme="majorHAnsi" w:hAnsiTheme="majorHAnsi"/>
        </w:rPr>
        <w:t>per la cui abrogazion</w:t>
      </w:r>
      <w:r w:rsidR="00ED52F5" w:rsidRPr="003E07A3">
        <w:rPr>
          <w:rFonts w:asciiTheme="majorHAnsi" w:hAnsiTheme="majorHAnsi"/>
        </w:rPr>
        <w:t>e</w:t>
      </w:r>
      <w:r w:rsidR="00D81812" w:rsidRPr="003E07A3">
        <w:rPr>
          <w:rFonts w:asciiTheme="majorHAnsi" w:hAnsiTheme="majorHAnsi"/>
        </w:rPr>
        <w:t>, lo ricordiamo,</w:t>
      </w:r>
      <w:r w:rsidR="00ED52F5" w:rsidRPr="003E07A3">
        <w:rPr>
          <w:rFonts w:asciiTheme="majorHAnsi" w:hAnsiTheme="majorHAnsi"/>
        </w:rPr>
        <w:t xml:space="preserve"> </w:t>
      </w:r>
      <w:r w:rsidR="00761A96" w:rsidRPr="003E07A3">
        <w:rPr>
          <w:rFonts w:asciiTheme="majorHAnsi" w:hAnsiTheme="majorHAnsi"/>
        </w:rPr>
        <w:t xml:space="preserve"> Rifondazione Comunista promosse un referendum </w:t>
      </w:r>
      <w:r w:rsidR="00D81812" w:rsidRPr="003E07A3">
        <w:rPr>
          <w:rFonts w:asciiTheme="majorHAnsi" w:hAnsiTheme="majorHAnsi"/>
        </w:rPr>
        <w:t>nel</w:t>
      </w:r>
      <w:r w:rsidR="00ED52F5" w:rsidRPr="003E07A3">
        <w:rPr>
          <w:rFonts w:asciiTheme="majorHAnsi" w:hAnsiTheme="majorHAnsi"/>
        </w:rPr>
        <w:t xml:space="preserve"> </w:t>
      </w:r>
      <w:r w:rsidR="00A80774" w:rsidRPr="003E07A3">
        <w:rPr>
          <w:rFonts w:asciiTheme="majorHAnsi" w:hAnsiTheme="majorHAnsi"/>
        </w:rPr>
        <w:t>2012</w:t>
      </w:r>
      <w:r w:rsidR="00200CD7" w:rsidRPr="003E07A3">
        <w:rPr>
          <w:rFonts w:asciiTheme="majorHAnsi" w:hAnsiTheme="majorHAnsi"/>
        </w:rPr>
        <w:t xml:space="preserve"> purtroppo</w:t>
      </w:r>
      <w:r w:rsidR="00A80774" w:rsidRPr="003E07A3">
        <w:rPr>
          <w:rFonts w:asciiTheme="majorHAnsi" w:hAnsiTheme="majorHAnsi"/>
        </w:rPr>
        <w:t xml:space="preserve"> </w:t>
      </w:r>
      <w:r w:rsidR="00796511" w:rsidRPr="003E07A3">
        <w:rPr>
          <w:rFonts w:asciiTheme="majorHAnsi" w:hAnsiTheme="majorHAnsi"/>
        </w:rPr>
        <w:t>vanificato</w:t>
      </w:r>
      <w:r w:rsidR="00761A96" w:rsidRPr="003E07A3">
        <w:rPr>
          <w:rFonts w:asciiTheme="majorHAnsi" w:hAnsiTheme="majorHAnsi"/>
        </w:rPr>
        <w:t xml:space="preserve"> dallo scioglimento </w:t>
      </w:r>
      <w:r w:rsidR="00D54296" w:rsidRPr="003E07A3">
        <w:rPr>
          <w:rFonts w:asciiTheme="majorHAnsi" w:hAnsiTheme="majorHAnsi"/>
        </w:rPr>
        <w:t xml:space="preserve">anticipato </w:t>
      </w:r>
      <w:r w:rsidR="00761A96" w:rsidRPr="003E07A3">
        <w:rPr>
          <w:rFonts w:asciiTheme="majorHAnsi" w:hAnsiTheme="majorHAnsi"/>
        </w:rPr>
        <w:t>dell</w:t>
      </w:r>
      <w:r w:rsidR="00ED52F5" w:rsidRPr="003E07A3">
        <w:rPr>
          <w:rFonts w:asciiTheme="majorHAnsi" w:hAnsiTheme="majorHAnsi"/>
        </w:rPr>
        <w:t>e camere</w:t>
      </w:r>
      <w:r w:rsidR="00200CD7" w:rsidRPr="003E07A3">
        <w:rPr>
          <w:rFonts w:asciiTheme="majorHAnsi" w:hAnsiTheme="majorHAnsi"/>
        </w:rPr>
        <w:t xml:space="preserve"> –</w:t>
      </w:r>
      <w:r w:rsidR="00A16D77">
        <w:rPr>
          <w:rFonts w:asciiTheme="majorHAnsi" w:hAnsiTheme="majorHAnsi"/>
        </w:rPr>
        <w:t xml:space="preserve"> ma ha carattere triennale e </w:t>
      </w:r>
      <w:r w:rsidR="00200CD7" w:rsidRPr="003E07A3">
        <w:rPr>
          <w:rFonts w:asciiTheme="majorHAnsi" w:hAnsiTheme="majorHAnsi"/>
        </w:rPr>
        <w:t xml:space="preserve">non </w:t>
      </w:r>
      <w:r w:rsidR="00A16D77">
        <w:rPr>
          <w:rFonts w:asciiTheme="majorHAnsi" w:hAnsiTheme="majorHAnsi"/>
        </w:rPr>
        <w:t xml:space="preserve">rappresenta </w:t>
      </w:r>
      <w:r w:rsidR="00761A96" w:rsidRPr="003E07A3">
        <w:rPr>
          <w:rFonts w:asciiTheme="majorHAnsi" w:hAnsiTheme="majorHAnsi"/>
        </w:rPr>
        <w:t xml:space="preserve">in nessun modo né la cancellazione </w:t>
      </w:r>
      <w:r w:rsidR="00A16D77">
        <w:rPr>
          <w:rFonts w:asciiTheme="majorHAnsi" w:hAnsiTheme="majorHAnsi"/>
        </w:rPr>
        <w:t>promessa in campagna elettorale della Fornero,</w:t>
      </w:r>
      <w:r w:rsidR="00761A96" w:rsidRPr="003E07A3">
        <w:rPr>
          <w:rFonts w:asciiTheme="majorHAnsi" w:hAnsiTheme="majorHAnsi"/>
        </w:rPr>
        <w:t xml:space="preserve"> né una riforma organica, come testimonia</w:t>
      </w:r>
      <w:r w:rsidR="00D81812" w:rsidRPr="003E07A3">
        <w:rPr>
          <w:rFonts w:asciiTheme="majorHAnsi" w:hAnsiTheme="majorHAnsi"/>
        </w:rPr>
        <w:t xml:space="preserve"> il permanere di diverse misure,</w:t>
      </w:r>
      <w:r w:rsidR="00761A96" w:rsidRPr="003E07A3">
        <w:rPr>
          <w:rFonts w:asciiTheme="majorHAnsi" w:hAnsiTheme="majorHAnsi"/>
        </w:rPr>
        <w:t xml:space="preserve"> tutte </w:t>
      </w:r>
      <w:r w:rsidR="00643470" w:rsidRPr="003E07A3">
        <w:rPr>
          <w:rFonts w:asciiTheme="majorHAnsi" w:hAnsiTheme="majorHAnsi"/>
        </w:rPr>
        <w:t>in regime sperimentale</w:t>
      </w:r>
      <w:r w:rsidR="00D54296" w:rsidRPr="003E07A3">
        <w:rPr>
          <w:rFonts w:asciiTheme="majorHAnsi" w:hAnsiTheme="majorHAnsi"/>
        </w:rPr>
        <w:t xml:space="preserve"> (Quota 100, Ape Sociale, Opzione Donna…)</w:t>
      </w:r>
      <w:r w:rsidR="00643470" w:rsidRPr="003E07A3">
        <w:rPr>
          <w:rFonts w:asciiTheme="majorHAnsi" w:hAnsiTheme="majorHAnsi"/>
        </w:rPr>
        <w:t xml:space="preserve">. </w:t>
      </w:r>
    </w:p>
    <w:p w14:paraId="67652C56" w14:textId="77777777" w:rsidR="0001523E" w:rsidRDefault="00B86915" w:rsidP="00761A9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Vi accederanno un numero di lavoratori significativamente inferiore alla platea potenziale, anche per la riduzione della pensione conseguente a</w:t>
      </w:r>
      <w:r w:rsidR="00707F81">
        <w:rPr>
          <w:rFonts w:asciiTheme="majorHAnsi" w:hAnsiTheme="majorHAnsi"/>
        </w:rPr>
        <w:t xml:space="preserve">i minori anni di contribuzione. </w:t>
      </w:r>
    </w:p>
    <w:p w14:paraId="5B2A1566" w14:textId="2F62D747" w:rsidR="00643470" w:rsidRPr="003E07A3" w:rsidRDefault="00A16D77" w:rsidP="00761A9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L’adeguamento all’aspettativa di vita resta per la pensione d</w:t>
      </w:r>
      <w:r w:rsidR="00A35C12">
        <w:rPr>
          <w:rFonts w:asciiTheme="majorHAnsi" w:hAnsiTheme="majorHAnsi"/>
        </w:rPr>
        <w:t>i vecchiaia, e non è parametrato</w:t>
      </w:r>
      <w:r>
        <w:rPr>
          <w:rFonts w:asciiTheme="majorHAnsi" w:hAnsiTheme="majorHAnsi"/>
        </w:rPr>
        <w:t xml:space="preserve"> alle diverse condizioni </w:t>
      </w:r>
      <w:r w:rsidR="008B7CC0">
        <w:rPr>
          <w:rFonts w:asciiTheme="majorHAnsi" w:hAnsiTheme="majorHAnsi"/>
        </w:rPr>
        <w:t>di lavoro e di stress da lavoro, non risolte dalle limitate eccezioni previste.</w:t>
      </w:r>
    </w:p>
    <w:p w14:paraId="7883DDF7" w14:textId="0690639C" w:rsidR="00C408DE" w:rsidRPr="003E07A3" w:rsidRDefault="00707F81" w:rsidP="00761A96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Non è in nessun modo risolutiva in particolare per le donne, le più colpite dalla controriforma del 2011, che c</w:t>
      </w:r>
      <w:r w:rsidR="00643470" w:rsidRPr="003E07A3">
        <w:rPr>
          <w:rFonts w:asciiTheme="majorHAnsi" w:hAnsiTheme="majorHAnsi"/>
          <w:b/>
        </w:rPr>
        <w:t>ontinua</w:t>
      </w:r>
      <w:r w:rsidR="00D81812" w:rsidRPr="003E07A3">
        <w:rPr>
          <w:rFonts w:asciiTheme="majorHAnsi" w:hAnsiTheme="majorHAnsi"/>
          <w:b/>
        </w:rPr>
        <w:t>no</w:t>
      </w:r>
      <w:r w:rsidR="00643470" w:rsidRPr="003E07A3">
        <w:rPr>
          <w:rFonts w:asciiTheme="majorHAnsi" w:hAnsiTheme="majorHAnsi"/>
          <w:b/>
        </w:rPr>
        <w:t xml:space="preserve"> a</w:t>
      </w:r>
      <w:r w:rsidR="00D81812" w:rsidRPr="003E07A3">
        <w:rPr>
          <w:rFonts w:asciiTheme="majorHAnsi" w:hAnsiTheme="majorHAnsi"/>
          <w:b/>
        </w:rPr>
        <w:t xml:space="preserve">d essere </w:t>
      </w:r>
      <w:r w:rsidR="00A80774" w:rsidRPr="003E07A3">
        <w:rPr>
          <w:rFonts w:asciiTheme="majorHAnsi" w:hAnsiTheme="majorHAnsi"/>
          <w:b/>
        </w:rPr>
        <w:t>gravemente penalizzate</w:t>
      </w:r>
      <w:r>
        <w:rPr>
          <w:rFonts w:asciiTheme="majorHAnsi" w:hAnsiTheme="majorHAnsi"/>
          <w:b/>
        </w:rPr>
        <w:t xml:space="preserve">, e che anticipano le future (e più gravi) penalizzazioni dei giovani lavoratori </w:t>
      </w:r>
      <w:r w:rsidR="00A35C12">
        <w:rPr>
          <w:rFonts w:asciiTheme="majorHAnsi" w:hAnsiTheme="majorHAnsi"/>
          <w:b/>
        </w:rPr>
        <w:t xml:space="preserve">e delle giovani lavoratrici </w:t>
      </w:r>
      <w:r>
        <w:rPr>
          <w:rFonts w:asciiTheme="majorHAnsi" w:hAnsiTheme="majorHAnsi"/>
          <w:b/>
        </w:rPr>
        <w:t>precari</w:t>
      </w:r>
      <w:r w:rsidR="00A35C12">
        <w:rPr>
          <w:rFonts w:asciiTheme="majorHAnsi" w:hAnsiTheme="majorHAnsi"/>
          <w:b/>
        </w:rPr>
        <w:t>e</w:t>
      </w:r>
      <w:r>
        <w:rPr>
          <w:rFonts w:asciiTheme="majorHAnsi" w:hAnsiTheme="majorHAnsi"/>
          <w:b/>
        </w:rPr>
        <w:t>.</w:t>
      </w:r>
    </w:p>
    <w:p w14:paraId="75E74CDB" w14:textId="73EE785E" w:rsidR="00643470" w:rsidRPr="003E07A3" w:rsidRDefault="00C408DE" w:rsidP="001E36C2">
      <w:pPr>
        <w:jc w:val="both"/>
        <w:rPr>
          <w:rFonts w:asciiTheme="majorHAnsi" w:hAnsiTheme="majorHAnsi"/>
        </w:rPr>
      </w:pPr>
      <w:r w:rsidRPr="003E07A3">
        <w:rPr>
          <w:rFonts w:asciiTheme="majorHAnsi" w:hAnsiTheme="majorHAnsi"/>
        </w:rPr>
        <w:t>Il perdurante sessismo di una società che scaric</w:t>
      </w:r>
      <w:r w:rsidR="00707F81">
        <w:rPr>
          <w:rFonts w:asciiTheme="majorHAnsi" w:hAnsiTheme="majorHAnsi"/>
        </w:rPr>
        <w:t>a</w:t>
      </w:r>
      <w:r w:rsidR="00C34D8F" w:rsidRPr="003E07A3">
        <w:rPr>
          <w:rFonts w:asciiTheme="majorHAnsi" w:hAnsiTheme="majorHAnsi"/>
        </w:rPr>
        <w:t xml:space="preserve"> sulle donne il lavoro</w:t>
      </w:r>
      <w:r w:rsidR="00200CD7" w:rsidRPr="003E07A3">
        <w:rPr>
          <w:rFonts w:asciiTheme="majorHAnsi" w:hAnsiTheme="majorHAnsi"/>
        </w:rPr>
        <w:t xml:space="preserve"> domestico e</w:t>
      </w:r>
      <w:r w:rsidR="00C34D8F" w:rsidRPr="003E07A3">
        <w:rPr>
          <w:rFonts w:asciiTheme="majorHAnsi" w:hAnsiTheme="majorHAnsi"/>
        </w:rPr>
        <w:t xml:space="preserve"> di cura (5 ore e 13 minuti in media al giorno</w:t>
      </w:r>
      <w:r w:rsidR="00BD5417" w:rsidRPr="003E07A3">
        <w:rPr>
          <w:rFonts w:asciiTheme="majorHAnsi" w:hAnsiTheme="majorHAnsi"/>
        </w:rPr>
        <w:t xml:space="preserve"> contro 1 ora e 50 degli uomini: 3 volte tanto</w:t>
      </w:r>
      <w:r w:rsidR="00BD5417" w:rsidRPr="003E07A3">
        <w:rPr>
          <w:rStyle w:val="Rimandonotaapidipagina"/>
          <w:rFonts w:asciiTheme="majorHAnsi" w:hAnsiTheme="majorHAnsi"/>
        </w:rPr>
        <w:footnoteReference w:id="1"/>
      </w:r>
      <w:r w:rsidR="00C34D8F" w:rsidRPr="003E07A3">
        <w:rPr>
          <w:rFonts w:asciiTheme="majorHAnsi" w:hAnsiTheme="majorHAnsi"/>
        </w:rPr>
        <w:t xml:space="preserve">), </w:t>
      </w:r>
      <w:r w:rsidRPr="003E07A3">
        <w:rPr>
          <w:rFonts w:asciiTheme="majorHAnsi" w:hAnsiTheme="majorHAnsi"/>
        </w:rPr>
        <w:t xml:space="preserve"> </w:t>
      </w:r>
      <w:r w:rsidR="005137CB" w:rsidRPr="003E07A3">
        <w:rPr>
          <w:rFonts w:asciiTheme="majorHAnsi" w:hAnsiTheme="majorHAnsi"/>
        </w:rPr>
        <w:t xml:space="preserve">e insieme </w:t>
      </w:r>
      <w:r w:rsidR="00C34D8F" w:rsidRPr="003E07A3">
        <w:rPr>
          <w:rFonts w:asciiTheme="majorHAnsi" w:hAnsiTheme="majorHAnsi"/>
        </w:rPr>
        <w:t xml:space="preserve">le </w:t>
      </w:r>
      <w:r w:rsidR="00707F81">
        <w:rPr>
          <w:rFonts w:asciiTheme="majorHAnsi" w:hAnsiTheme="majorHAnsi"/>
        </w:rPr>
        <w:t xml:space="preserve">discrimina </w:t>
      </w:r>
      <w:r w:rsidR="00C34D8F" w:rsidRPr="003E07A3">
        <w:rPr>
          <w:rFonts w:asciiTheme="majorHAnsi" w:hAnsiTheme="majorHAnsi"/>
        </w:rPr>
        <w:t xml:space="preserve">nei riconoscimenti sociali, fa sì che le donne </w:t>
      </w:r>
      <w:r w:rsidR="00707F81">
        <w:rPr>
          <w:rFonts w:asciiTheme="majorHAnsi" w:hAnsiTheme="majorHAnsi"/>
        </w:rPr>
        <w:t xml:space="preserve">abbiamo carriere lavorative </w:t>
      </w:r>
      <w:r w:rsidR="00C34D8F" w:rsidRPr="003E07A3">
        <w:rPr>
          <w:rFonts w:asciiTheme="majorHAnsi" w:hAnsiTheme="majorHAnsi"/>
        </w:rPr>
        <w:t>discontinue, subiscano il part-time imposto assai più degli uomini (1milione e 851mila donne contro 851mila uomini</w:t>
      </w:r>
      <w:r w:rsidR="00BD5417" w:rsidRPr="003E07A3">
        <w:rPr>
          <w:rStyle w:val="Rimandonotaapidipagina"/>
          <w:rFonts w:asciiTheme="majorHAnsi" w:hAnsiTheme="majorHAnsi"/>
        </w:rPr>
        <w:footnoteReference w:id="2"/>
      </w:r>
      <w:r w:rsidR="00C34D8F" w:rsidRPr="003E07A3">
        <w:rPr>
          <w:rFonts w:asciiTheme="majorHAnsi" w:hAnsiTheme="majorHAnsi"/>
        </w:rPr>
        <w:t xml:space="preserve">), subiscano perduranti penalizzazioni salariali. </w:t>
      </w:r>
    </w:p>
    <w:p w14:paraId="457C5EC6" w14:textId="6E7A60DC" w:rsidR="00200CD7" w:rsidRPr="003E07A3" w:rsidRDefault="00BD5417" w:rsidP="001E36C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 w:rsidRPr="003E07A3">
        <w:rPr>
          <w:rFonts w:asciiTheme="majorHAnsi" w:hAnsiTheme="majorHAnsi"/>
        </w:rPr>
        <w:t xml:space="preserve">Nel 2011, prima dell’approvazione della Legge Fornero, le donne con 35 anni di contributi </w:t>
      </w:r>
      <w:r w:rsidR="001E36C2" w:rsidRPr="003E07A3">
        <w:rPr>
          <w:rFonts w:asciiTheme="majorHAnsi" w:hAnsiTheme="majorHAnsi"/>
        </w:rPr>
        <w:t xml:space="preserve">erano </w:t>
      </w:r>
      <w:r w:rsidR="001E36C2" w:rsidRPr="003E07A3">
        <w:rPr>
          <w:rFonts w:asciiTheme="majorHAnsi" w:hAnsiTheme="majorHAnsi" w:cs="Calibri"/>
        </w:rPr>
        <w:t>solo il 20,6% sul totale femminile, contro il 70,6% degli uomini sul totale maschile</w:t>
      </w:r>
      <w:r w:rsidR="0001523E">
        <w:rPr>
          <w:rStyle w:val="Rimandonotaapidipagina"/>
          <w:rFonts w:asciiTheme="majorHAnsi" w:hAnsiTheme="majorHAnsi" w:cs="Calibri"/>
        </w:rPr>
        <w:footnoteReference w:id="3"/>
      </w:r>
      <w:r w:rsidR="0001523E">
        <w:rPr>
          <w:rFonts w:asciiTheme="majorHAnsi" w:hAnsiTheme="majorHAnsi" w:cs="Calibri"/>
        </w:rPr>
        <w:t xml:space="preserve"> </w:t>
      </w:r>
      <w:r w:rsidR="001E36C2" w:rsidRPr="003E07A3">
        <w:rPr>
          <w:rFonts w:asciiTheme="majorHAnsi" w:hAnsiTheme="majorHAnsi" w:cs="Calibri"/>
        </w:rPr>
        <w:t xml:space="preserve">. </w:t>
      </w:r>
      <w:r w:rsidR="00200CD7" w:rsidRPr="003E07A3">
        <w:rPr>
          <w:rFonts w:asciiTheme="majorHAnsi" w:hAnsiTheme="majorHAnsi" w:cs="Calibri"/>
        </w:rPr>
        <w:t>Ma allora era possibile utilizzare il canale della pensione di vecchiaia che prevedeva 5 anni di differenza per le lavoratrici private (mentre per le pubbliche la modalità truffaldina di relazione con la UE da parte di tutti i governi</w:t>
      </w:r>
      <w:r w:rsidR="00B86915">
        <w:rPr>
          <w:rFonts w:asciiTheme="majorHAnsi" w:hAnsiTheme="majorHAnsi" w:cs="Calibri"/>
        </w:rPr>
        <w:t>,</w:t>
      </w:r>
      <w:r w:rsidR="00200CD7" w:rsidRPr="003E07A3">
        <w:rPr>
          <w:rFonts w:asciiTheme="majorHAnsi" w:hAnsiTheme="majorHAnsi" w:cs="Calibri"/>
        </w:rPr>
        <w:t xml:space="preserve"> di centrosinistra come di centrodestra</w:t>
      </w:r>
      <w:r w:rsidR="00B86915">
        <w:rPr>
          <w:rFonts w:asciiTheme="majorHAnsi" w:hAnsiTheme="majorHAnsi" w:cs="Calibri"/>
        </w:rPr>
        <w:t>,</w:t>
      </w:r>
      <w:r w:rsidR="00200CD7" w:rsidRPr="003E07A3">
        <w:rPr>
          <w:rFonts w:asciiTheme="majorHAnsi" w:hAnsiTheme="majorHAnsi" w:cs="Calibri"/>
        </w:rPr>
        <w:t xml:space="preserve"> aveva già portato all’innalzamento dell’età pensionabile). </w:t>
      </w:r>
    </w:p>
    <w:p w14:paraId="4F4CBD74" w14:textId="0C0DAC91" w:rsidR="001E36C2" w:rsidRPr="003E07A3" w:rsidRDefault="001E36C2" w:rsidP="001E36C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 w:rsidRPr="003E07A3">
        <w:rPr>
          <w:rFonts w:asciiTheme="majorHAnsi" w:hAnsiTheme="majorHAnsi" w:cs="Calibri"/>
        </w:rPr>
        <w:t xml:space="preserve">I dati recenti forniti dai sindacati parlano per le lavoratrici </w:t>
      </w:r>
      <w:r w:rsidR="00B86915">
        <w:rPr>
          <w:rFonts w:asciiTheme="majorHAnsi" w:hAnsiTheme="majorHAnsi" w:cs="Calibri"/>
        </w:rPr>
        <w:t xml:space="preserve">del </w:t>
      </w:r>
      <w:r w:rsidRPr="003E07A3">
        <w:rPr>
          <w:rFonts w:asciiTheme="majorHAnsi" w:hAnsiTheme="majorHAnsi" w:cs="Calibri"/>
        </w:rPr>
        <w:t xml:space="preserve">settore privato di una media di 25,5 anni di contributi contro i 38,8 degli uomini. </w:t>
      </w:r>
    </w:p>
    <w:p w14:paraId="4E0CD7B8" w14:textId="77777777" w:rsidR="001E36C2" w:rsidRPr="003E07A3" w:rsidRDefault="001E36C2" w:rsidP="001E36C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 w:rsidRPr="00B86915">
        <w:rPr>
          <w:rFonts w:asciiTheme="majorHAnsi" w:hAnsiTheme="majorHAnsi" w:cs="Calibri"/>
          <w:b/>
        </w:rPr>
        <w:t>In sostanza le donne che potranno accedere a Quota 100 saranno un’assoluta minoranza</w:t>
      </w:r>
      <w:r w:rsidRPr="003E07A3">
        <w:rPr>
          <w:rFonts w:asciiTheme="majorHAnsi" w:hAnsiTheme="majorHAnsi" w:cs="Calibri"/>
        </w:rPr>
        <w:t xml:space="preserve">, mentre Opzione Donna comporta penalizzazioni delle pensioni fortissime, che intervengono su retribuzioni già nettamente più basse di quelle degli uomini. </w:t>
      </w:r>
    </w:p>
    <w:p w14:paraId="5DBC79BF" w14:textId="77777777" w:rsidR="003E07A3" w:rsidRPr="003E07A3" w:rsidRDefault="003E07A3" w:rsidP="001E36C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/>
        </w:rPr>
      </w:pPr>
      <w:r w:rsidRPr="003E07A3">
        <w:rPr>
          <w:rFonts w:asciiTheme="majorHAnsi" w:hAnsiTheme="majorHAnsi" w:cs="Calibri"/>
          <w:b/>
        </w:rPr>
        <w:t>I giovani</w:t>
      </w:r>
    </w:p>
    <w:p w14:paraId="22976E4E" w14:textId="77777777" w:rsidR="001E36C2" w:rsidRPr="003E07A3" w:rsidRDefault="001E36C2" w:rsidP="001E36C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 w:rsidRPr="003E07A3">
        <w:rPr>
          <w:rFonts w:asciiTheme="majorHAnsi" w:hAnsiTheme="majorHAnsi" w:cs="Calibri"/>
        </w:rPr>
        <w:t xml:space="preserve">La situazione attuale delle donne non fa che anticipare la situazione futura di chi lavora oggi. </w:t>
      </w:r>
    </w:p>
    <w:p w14:paraId="266F589D" w14:textId="77777777" w:rsidR="00200CD7" w:rsidRPr="003E07A3" w:rsidRDefault="001E36C2" w:rsidP="001E36C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 w:rsidRPr="003E07A3">
        <w:rPr>
          <w:rFonts w:asciiTheme="majorHAnsi" w:hAnsiTheme="majorHAnsi" w:cs="Calibri"/>
        </w:rPr>
        <w:t>I 38 anni di contributi sono una chimera per la condizione precaria sempre più generalizzata delle lavora</w:t>
      </w:r>
      <w:r w:rsidR="00200CD7" w:rsidRPr="003E07A3">
        <w:rPr>
          <w:rFonts w:asciiTheme="majorHAnsi" w:hAnsiTheme="majorHAnsi" w:cs="Calibri"/>
        </w:rPr>
        <w:t xml:space="preserve">trici e dei lavoratori attuali, che vede accanto alla </w:t>
      </w:r>
      <w:r w:rsidR="00AC760F" w:rsidRPr="003E07A3">
        <w:rPr>
          <w:rFonts w:asciiTheme="majorHAnsi" w:hAnsiTheme="majorHAnsi" w:cs="Calibri"/>
        </w:rPr>
        <w:t xml:space="preserve">discontinuità lavorativa condizioni salariali </w:t>
      </w:r>
      <w:r w:rsidR="00200CD7" w:rsidRPr="003E07A3">
        <w:rPr>
          <w:rFonts w:asciiTheme="majorHAnsi" w:hAnsiTheme="majorHAnsi" w:cs="Calibri"/>
        </w:rPr>
        <w:t>nettamente peggiori</w:t>
      </w:r>
      <w:r w:rsidR="00AC760F" w:rsidRPr="003E07A3">
        <w:rPr>
          <w:rFonts w:asciiTheme="majorHAnsi" w:hAnsiTheme="majorHAnsi" w:cs="Calibri"/>
        </w:rPr>
        <w:t xml:space="preserve"> </w:t>
      </w:r>
      <w:r w:rsidR="00200CD7" w:rsidRPr="003E07A3">
        <w:rPr>
          <w:rFonts w:asciiTheme="majorHAnsi" w:hAnsiTheme="majorHAnsi" w:cs="Calibri"/>
        </w:rPr>
        <w:t xml:space="preserve">(il 30% in meno rispetto al tempo indeterminato). </w:t>
      </w:r>
    </w:p>
    <w:p w14:paraId="18A7544E" w14:textId="77777777" w:rsidR="005137CB" w:rsidRPr="003E07A3" w:rsidRDefault="005137CB" w:rsidP="00200CD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</w:p>
    <w:p w14:paraId="665A02EF" w14:textId="77777777" w:rsidR="00CC03E6" w:rsidRPr="003E07A3" w:rsidRDefault="00200CD7" w:rsidP="00CC03E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 w:rsidRPr="003E07A3">
        <w:rPr>
          <w:rFonts w:asciiTheme="majorHAnsi" w:hAnsiTheme="majorHAnsi" w:cs="Calibri"/>
        </w:rPr>
        <w:t>Per questo è per noi imprescindibile una mobilitazione</w:t>
      </w:r>
      <w:r w:rsidR="005137CB" w:rsidRPr="003E07A3">
        <w:rPr>
          <w:rFonts w:asciiTheme="majorHAnsi" w:hAnsiTheme="majorHAnsi" w:cs="Calibri"/>
        </w:rPr>
        <w:t xml:space="preserve"> che si ponga l’obiettivo di una riforma organica della previdenza, e che rivendichi da subito il ripristino di </w:t>
      </w:r>
      <w:r w:rsidRPr="003E07A3">
        <w:rPr>
          <w:rFonts w:asciiTheme="majorHAnsi" w:hAnsiTheme="majorHAnsi" w:cs="Calibri"/>
        </w:rPr>
        <w:t>una riduzione signi</w:t>
      </w:r>
      <w:r w:rsidR="005137CB" w:rsidRPr="003E07A3">
        <w:rPr>
          <w:rFonts w:asciiTheme="majorHAnsi" w:hAnsiTheme="majorHAnsi" w:cs="Calibri"/>
        </w:rPr>
        <w:t xml:space="preserve">ficativa dell’età pensionabile per le donne - almeno fin quando non sarà conquistata una effettiva uguaglianza nel lavoro produttivo e riproduttivo - e una pensione di garanzia per i giovani, iniziando a rimettere in discussione i meccanismi del contributivo. </w:t>
      </w:r>
    </w:p>
    <w:p w14:paraId="262F796C" w14:textId="46D218B4" w:rsidR="00CC03E6" w:rsidRPr="003E07A3" w:rsidRDefault="005137CB" w:rsidP="00CC03E6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222222"/>
        </w:rPr>
      </w:pPr>
      <w:r w:rsidRPr="003E07A3">
        <w:rPr>
          <w:rFonts w:asciiTheme="majorHAnsi" w:hAnsiTheme="majorHAnsi" w:cs="Calibri"/>
        </w:rPr>
        <w:t xml:space="preserve">Come continuiamo a evidenziare, </w:t>
      </w:r>
      <w:r w:rsidR="00CC03E6" w:rsidRPr="003E07A3">
        <w:rPr>
          <w:rFonts w:asciiTheme="majorHAnsi" w:hAnsiTheme="majorHAnsi" w:cs="Calibri"/>
        </w:rPr>
        <w:t xml:space="preserve">non c’è nessun problema di sostenibilità intrinseca del sistema pensionistico. La controriforma Fornero fu imposta dentro le logiche delle politiche di austerità. </w:t>
      </w:r>
      <w:r w:rsidR="00A16D77">
        <w:rPr>
          <w:rFonts w:asciiTheme="majorHAnsi" w:hAnsiTheme="majorHAnsi"/>
          <w:bCs/>
          <w:color w:val="222222"/>
        </w:rPr>
        <w:t xml:space="preserve">Ma </w:t>
      </w:r>
      <w:r w:rsidR="00CC03E6" w:rsidRPr="003E07A3">
        <w:rPr>
          <w:rFonts w:asciiTheme="majorHAnsi" w:hAnsiTheme="majorHAnsi"/>
          <w:bCs/>
          <w:color w:val="222222"/>
        </w:rPr>
        <w:t>il saldo</w:t>
      </w:r>
      <w:r w:rsidR="00CC03E6" w:rsidRPr="003E07A3">
        <w:rPr>
          <w:rFonts w:asciiTheme="majorHAnsi" w:hAnsiTheme="majorHAnsi"/>
          <w:color w:val="222222"/>
        </w:rPr>
        <w:t>  tra le entrate contributive e le prestazioni previdenziali</w:t>
      </w:r>
      <w:r w:rsidR="0001523E">
        <w:rPr>
          <w:rFonts w:asciiTheme="majorHAnsi" w:hAnsiTheme="majorHAnsi"/>
          <w:color w:val="222222"/>
        </w:rPr>
        <w:t>,</w:t>
      </w:r>
      <w:r w:rsidR="00CC03E6" w:rsidRPr="003E07A3">
        <w:rPr>
          <w:rFonts w:asciiTheme="majorHAnsi" w:hAnsiTheme="majorHAnsi"/>
          <w:color w:val="222222"/>
        </w:rPr>
        <w:t xml:space="preserve"> al netto dell’assistenza e delle </w:t>
      </w:r>
      <w:r w:rsidR="0001523E">
        <w:rPr>
          <w:rFonts w:asciiTheme="majorHAnsi" w:hAnsiTheme="majorHAnsi"/>
          <w:color w:val="222222"/>
        </w:rPr>
        <w:t xml:space="preserve">tasse, </w:t>
      </w:r>
      <w:bookmarkStart w:id="0" w:name="_GoBack"/>
      <w:bookmarkEnd w:id="0"/>
      <w:r w:rsidR="00A16D77">
        <w:rPr>
          <w:rFonts w:asciiTheme="majorHAnsi" w:hAnsiTheme="majorHAnsi"/>
          <w:bCs/>
          <w:color w:val="222222"/>
        </w:rPr>
        <w:t xml:space="preserve">è </w:t>
      </w:r>
      <w:r w:rsidR="00CC03E6" w:rsidRPr="003E07A3">
        <w:rPr>
          <w:rFonts w:asciiTheme="majorHAnsi" w:hAnsiTheme="majorHAnsi"/>
          <w:bCs/>
          <w:color w:val="222222"/>
        </w:rPr>
        <w:t xml:space="preserve"> sempre</w:t>
      </w:r>
      <w:r w:rsidR="00CC03E6" w:rsidRPr="003E07A3">
        <w:rPr>
          <w:rFonts w:asciiTheme="majorHAnsi" w:hAnsiTheme="majorHAnsi"/>
          <w:color w:val="222222"/>
        </w:rPr>
        <w:t> </w:t>
      </w:r>
      <w:r w:rsidR="00A16D77">
        <w:rPr>
          <w:rFonts w:asciiTheme="majorHAnsi" w:hAnsiTheme="majorHAnsi"/>
          <w:color w:val="222222"/>
        </w:rPr>
        <w:t xml:space="preserve">stato </w:t>
      </w:r>
      <w:r w:rsidR="00CC03E6" w:rsidRPr="003E07A3">
        <w:rPr>
          <w:rFonts w:asciiTheme="majorHAnsi" w:hAnsiTheme="majorHAnsi"/>
          <w:bCs/>
          <w:color w:val="222222"/>
        </w:rPr>
        <w:t>in attivo</w:t>
      </w:r>
      <w:r w:rsidR="00A16D77">
        <w:rPr>
          <w:rFonts w:asciiTheme="majorHAnsi" w:hAnsiTheme="majorHAnsi"/>
          <w:bCs/>
          <w:color w:val="222222"/>
        </w:rPr>
        <w:t xml:space="preserve"> a partire dal 1996</w:t>
      </w:r>
      <w:r w:rsidR="00CC03E6" w:rsidRPr="003E07A3">
        <w:rPr>
          <w:rFonts w:asciiTheme="majorHAnsi" w:hAnsiTheme="majorHAnsi"/>
          <w:bCs/>
          <w:color w:val="222222"/>
        </w:rPr>
        <w:t>: un</w:t>
      </w:r>
      <w:r w:rsidR="00CC03E6" w:rsidRPr="003E07A3">
        <w:rPr>
          <w:rFonts w:asciiTheme="majorHAnsi" w:hAnsiTheme="majorHAnsi"/>
          <w:color w:val="222222"/>
        </w:rPr>
        <w:t xml:space="preserve"> attivo che nel 2016 è stato di circa 39 miliardi</w:t>
      </w:r>
      <w:r w:rsidR="003E07A3" w:rsidRPr="003E07A3">
        <w:rPr>
          <w:rStyle w:val="Rimandonotaapidipagina"/>
          <w:rFonts w:asciiTheme="majorHAnsi" w:hAnsiTheme="majorHAnsi"/>
          <w:color w:val="222222"/>
        </w:rPr>
        <w:footnoteReference w:id="4"/>
      </w:r>
      <w:r w:rsidR="00CC03E6" w:rsidRPr="003E07A3">
        <w:rPr>
          <w:rFonts w:asciiTheme="majorHAnsi" w:hAnsiTheme="majorHAnsi"/>
          <w:color w:val="222222"/>
        </w:rPr>
        <w:t xml:space="preserve">. </w:t>
      </w:r>
    </w:p>
    <w:p w14:paraId="0651DB9C" w14:textId="6F330721" w:rsidR="00CC03E6" w:rsidRPr="003E07A3" w:rsidRDefault="00CC03E6" w:rsidP="00CC03E6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222222"/>
        </w:rPr>
      </w:pPr>
      <w:r w:rsidRPr="003E07A3">
        <w:rPr>
          <w:rFonts w:asciiTheme="majorHAnsi" w:hAnsiTheme="majorHAnsi"/>
          <w:color w:val="222222"/>
        </w:rPr>
        <w:t xml:space="preserve">Il limite di </w:t>
      </w:r>
      <w:r w:rsidR="00A16D77">
        <w:rPr>
          <w:rFonts w:asciiTheme="majorHAnsi" w:hAnsiTheme="majorHAnsi"/>
          <w:color w:val="222222"/>
        </w:rPr>
        <w:t>“</w:t>
      </w:r>
      <w:r w:rsidRPr="003E07A3">
        <w:rPr>
          <w:rFonts w:asciiTheme="majorHAnsi" w:hAnsiTheme="majorHAnsi"/>
          <w:color w:val="222222"/>
        </w:rPr>
        <w:t>Quota 100</w:t>
      </w:r>
      <w:r w:rsidR="00A16D77">
        <w:rPr>
          <w:rFonts w:asciiTheme="majorHAnsi" w:hAnsiTheme="majorHAnsi"/>
          <w:color w:val="222222"/>
        </w:rPr>
        <w:t>”</w:t>
      </w:r>
      <w:r w:rsidRPr="003E07A3">
        <w:rPr>
          <w:rFonts w:asciiTheme="majorHAnsi" w:hAnsiTheme="majorHAnsi"/>
          <w:color w:val="222222"/>
        </w:rPr>
        <w:t xml:space="preserve"> è </w:t>
      </w:r>
      <w:r w:rsidR="003E07A3" w:rsidRPr="003E07A3">
        <w:rPr>
          <w:rFonts w:asciiTheme="majorHAnsi" w:hAnsiTheme="majorHAnsi"/>
          <w:color w:val="222222"/>
        </w:rPr>
        <w:t xml:space="preserve">quello </w:t>
      </w:r>
      <w:r w:rsidR="00A35C12">
        <w:rPr>
          <w:rFonts w:asciiTheme="majorHAnsi" w:hAnsiTheme="majorHAnsi"/>
          <w:color w:val="222222"/>
        </w:rPr>
        <w:t>di tutta la manovra, di cui pure rappresenta probabilmente il provvedimento migliore</w:t>
      </w:r>
      <w:r w:rsidRPr="003E07A3">
        <w:rPr>
          <w:rFonts w:asciiTheme="majorHAnsi" w:hAnsiTheme="majorHAnsi"/>
          <w:color w:val="222222"/>
        </w:rPr>
        <w:t xml:space="preserve">: i vincoli dell’austerità UE rispetto ai quali il governo ha </w:t>
      </w:r>
      <w:r w:rsidR="00A16D77">
        <w:rPr>
          <w:rFonts w:asciiTheme="majorHAnsi" w:hAnsiTheme="majorHAnsi"/>
          <w:color w:val="222222"/>
        </w:rPr>
        <w:t xml:space="preserve">portato avanti </w:t>
      </w:r>
      <w:r w:rsidRPr="003E07A3">
        <w:rPr>
          <w:rFonts w:asciiTheme="majorHAnsi" w:hAnsiTheme="majorHAnsi"/>
          <w:color w:val="222222"/>
        </w:rPr>
        <w:t xml:space="preserve">un’iniziativa tanto teatrale quanto inefficace, ed insieme le politiche fiscali inique </w:t>
      </w:r>
      <w:r w:rsidR="003E07A3" w:rsidRPr="003E07A3">
        <w:rPr>
          <w:rFonts w:asciiTheme="majorHAnsi" w:hAnsiTheme="majorHAnsi"/>
          <w:color w:val="222222"/>
        </w:rPr>
        <w:t xml:space="preserve">fatte di </w:t>
      </w:r>
      <w:r w:rsidRPr="003E07A3">
        <w:rPr>
          <w:rFonts w:asciiTheme="majorHAnsi" w:hAnsiTheme="majorHAnsi"/>
          <w:color w:val="222222"/>
        </w:rPr>
        <w:t xml:space="preserve">condoni e </w:t>
      </w:r>
      <w:proofErr w:type="spellStart"/>
      <w:r w:rsidRPr="003E07A3">
        <w:rPr>
          <w:rFonts w:asciiTheme="majorHAnsi" w:hAnsiTheme="majorHAnsi"/>
          <w:color w:val="222222"/>
        </w:rPr>
        <w:t>Flat</w:t>
      </w:r>
      <w:proofErr w:type="spellEnd"/>
      <w:r w:rsidRPr="003E07A3">
        <w:rPr>
          <w:rFonts w:asciiTheme="majorHAnsi" w:hAnsiTheme="majorHAnsi"/>
          <w:color w:val="222222"/>
        </w:rPr>
        <w:t xml:space="preserve"> </w:t>
      </w:r>
      <w:proofErr w:type="spellStart"/>
      <w:r w:rsidRPr="003E07A3">
        <w:rPr>
          <w:rFonts w:asciiTheme="majorHAnsi" w:hAnsiTheme="majorHAnsi"/>
          <w:color w:val="222222"/>
        </w:rPr>
        <w:t>Tax</w:t>
      </w:r>
      <w:proofErr w:type="spellEnd"/>
      <w:r w:rsidRPr="003E07A3">
        <w:rPr>
          <w:rFonts w:asciiTheme="majorHAnsi" w:hAnsiTheme="majorHAnsi"/>
          <w:color w:val="222222"/>
        </w:rPr>
        <w:t xml:space="preserve">, </w:t>
      </w:r>
      <w:r w:rsidR="003E07A3" w:rsidRPr="003E07A3">
        <w:rPr>
          <w:rFonts w:asciiTheme="majorHAnsi" w:hAnsiTheme="majorHAnsi"/>
          <w:color w:val="222222"/>
        </w:rPr>
        <w:t>piuttosto che di contrasto</w:t>
      </w:r>
      <w:r w:rsidRPr="003E07A3">
        <w:rPr>
          <w:rFonts w:asciiTheme="majorHAnsi" w:hAnsiTheme="majorHAnsi"/>
          <w:color w:val="222222"/>
        </w:rPr>
        <w:t xml:space="preserve"> </w:t>
      </w:r>
      <w:r w:rsidR="003E07A3" w:rsidRPr="003E07A3">
        <w:rPr>
          <w:rFonts w:asciiTheme="majorHAnsi" w:hAnsiTheme="majorHAnsi"/>
          <w:color w:val="222222"/>
        </w:rPr>
        <w:t>al</w:t>
      </w:r>
      <w:r w:rsidRPr="003E07A3">
        <w:rPr>
          <w:rFonts w:asciiTheme="majorHAnsi" w:hAnsiTheme="majorHAnsi"/>
          <w:color w:val="222222"/>
        </w:rPr>
        <w:t>l’evasione,</w:t>
      </w:r>
      <w:r w:rsidR="003E07A3" w:rsidRPr="003E07A3">
        <w:rPr>
          <w:rFonts w:asciiTheme="majorHAnsi" w:hAnsiTheme="majorHAnsi"/>
          <w:color w:val="222222"/>
        </w:rPr>
        <w:t xml:space="preserve"> maggiore progressività, patrimoniale sulle grandi ricchezze. </w:t>
      </w:r>
    </w:p>
    <w:p w14:paraId="0D62AC11" w14:textId="77777777" w:rsidR="003E07A3" w:rsidRPr="003E07A3" w:rsidRDefault="003E07A3" w:rsidP="00CC03E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222222"/>
        </w:rPr>
      </w:pPr>
    </w:p>
    <w:p w14:paraId="1D6FCB17" w14:textId="77777777" w:rsidR="005137CB" w:rsidRPr="003E07A3" w:rsidRDefault="005137CB" w:rsidP="00200CD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</w:p>
    <w:p w14:paraId="64CEECB2" w14:textId="77777777" w:rsidR="005137CB" w:rsidRPr="003E07A3" w:rsidRDefault="005137CB" w:rsidP="005137C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</w:p>
    <w:p w14:paraId="715B6378" w14:textId="77777777" w:rsidR="005137CB" w:rsidRPr="003E07A3" w:rsidRDefault="005137CB" w:rsidP="00200CD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</w:p>
    <w:p w14:paraId="5A03E7A1" w14:textId="77777777" w:rsidR="00200CD7" w:rsidRPr="003E07A3" w:rsidRDefault="00200CD7" w:rsidP="001E36C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</w:p>
    <w:p w14:paraId="62DA0133" w14:textId="77777777" w:rsidR="00200CD7" w:rsidRPr="003E07A3" w:rsidRDefault="00200CD7" w:rsidP="001E36C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</w:p>
    <w:p w14:paraId="606CE914" w14:textId="77777777" w:rsidR="00200CD7" w:rsidRPr="003E07A3" w:rsidRDefault="00200CD7" w:rsidP="001E36C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</w:p>
    <w:p w14:paraId="4D367F27" w14:textId="77777777" w:rsidR="00200CD7" w:rsidRPr="003E07A3" w:rsidRDefault="00200CD7" w:rsidP="001E36C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</w:p>
    <w:p w14:paraId="3EB8E1AC" w14:textId="77777777" w:rsidR="00200CD7" w:rsidRPr="003E07A3" w:rsidRDefault="00200CD7" w:rsidP="001E36C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</w:p>
    <w:p w14:paraId="55B6498B" w14:textId="77777777" w:rsidR="00200CD7" w:rsidRPr="003E07A3" w:rsidRDefault="00200CD7" w:rsidP="001E36C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</w:p>
    <w:p w14:paraId="4D302CF7" w14:textId="77777777" w:rsidR="00200CD7" w:rsidRPr="003E07A3" w:rsidRDefault="00200CD7" w:rsidP="001E36C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</w:p>
    <w:p w14:paraId="4C39E6E8" w14:textId="77777777" w:rsidR="00200CD7" w:rsidRPr="003E07A3" w:rsidRDefault="00200CD7" w:rsidP="001E36C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</w:p>
    <w:p w14:paraId="645C30B0" w14:textId="77777777" w:rsidR="00200CD7" w:rsidRPr="003E07A3" w:rsidRDefault="00200CD7" w:rsidP="001E36C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</w:p>
    <w:p w14:paraId="3FC4CB0C" w14:textId="77777777" w:rsidR="00200CD7" w:rsidRPr="003E07A3" w:rsidRDefault="00200CD7" w:rsidP="001E36C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</w:p>
    <w:p w14:paraId="7BAE4F8A" w14:textId="77777777" w:rsidR="00200CD7" w:rsidRDefault="00200CD7" w:rsidP="001E36C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92E6C92" w14:textId="77777777" w:rsidR="00200CD7" w:rsidRDefault="00200CD7" w:rsidP="001E36C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sectPr w:rsidR="00200CD7" w:rsidSect="003E07A3">
      <w:pgSz w:w="11900" w:h="16840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744F5" w14:textId="77777777" w:rsidR="008B7CC0" w:rsidRDefault="008B7CC0" w:rsidP="00C408DE">
      <w:r>
        <w:separator/>
      </w:r>
    </w:p>
  </w:endnote>
  <w:endnote w:type="continuationSeparator" w:id="0">
    <w:p w14:paraId="320EA5F4" w14:textId="77777777" w:rsidR="008B7CC0" w:rsidRDefault="008B7CC0" w:rsidP="00C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81E97" w14:textId="77777777" w:rsidR="008B7CC0" w:rsidRDefault="008B7CC0" w:rsidP="00C408DE">
      <w:r>
        <w:separator/>
      </w:r>
    </w:p>
  </w:footnote>
  <w:footnote w:type="continuationSeparator" w:id="0">
    <w:p w14:paraId="3EFFBA96" w14:textId="77777777" w:rsidR="008B7CC0" w:rsidRDefault="008B7CC0" w:rsidP="00C408DE">
      <w:r>
        <w:continuationSeparator/>
      </w:r>
    </w:p>
  </w:footnote>
  <w:footnote w:id="1">
    <w:p w14:paraId="6EB0A406" w14:textId="77777777" w:rsidR="008B7CC0" w:rsidRDefault="008B7CC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rPr>
          <w:rFonts w:asciiTheme="majorHAnsi" w:hAnsiTheme="majorHAnsi"/>
        </w:rPr>
        <w:t>Censis</w:t>
      </w:r>
      <w:proofErr w:type="spellEnd"/>
      <w:r>
        <w:rPr>
          <w:rFonts w:asciiTheme="majorHAnsi" w:hAnsiTheme="majorHAnsi"/>
        </w:rPr>
        <w:t>,  2016</w:t>
      </w:r>
    </w:p>
  </w:footnote>
  <w:footnote w:id="2">
    <w:p w14:paraId="09916807" w14:textId="77777777" w:rsidR="008B7CC0" w:rsidRPr="003E07A3" w:rsidRDefault="008B7CC0">
      <w:pPr>
        <w:pStyle w:val="Testonotaapidipagina"/>
        <w:rPr>
          <w:rFonts w:asciiTheme="majorHAnsi" w:hAnsiTheme="majorHAnsi"/>
        </w:rPr>
      </w:pPr>
      <w:r w:rsidRPr="003E07A3">
        <w:rPr>
          <w:rStyle w:val="Rimandonotaapidipagina"/>
          <w:rFonts w:asciiTheme="majorHAnsi" w:hAnsiTheme="majorHAnsi"/>
        </w:rPr>
        <w:footnoteRef/>
      </w:r>
      <w:r w:rsidRPr="003E07A3">
        <w:rPr>
          <w:rFonts w:asciiTheme="majorHAnsi" w:hAnsiTheme="majorHAnsi"/>
        </w:rPr>
        <w:t xml:space="preserve"> Istat, terzo trimestre 2018</w:t>
      </w:r>
    </w:p>
  </w:footnote>
  <w:footnote w:id="3">
    <w:p w14:paraId="1CB7E58D" w14:textId="52E10F85" w:rsidR="0001523E" w:rsidRDefault="0001523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E07A3">
        <w:rPr>
          <w:rFonts w:asciiTheme="majorHAnsi" w:hAnsiTheme="majorHAnsi" w:cs="Calibri"/>
        </w:rPr>
        <w:t>X Congresso Attuari INPS</w:t>
      </w:r>
    </w:p>
  </w:footnote>
  <w:footnote w:id="4">
    <w:p w14:paraId="2A50931C" w14:textId="77777777" w:rsidR="008B7CC0" w:rsidRPr="003E07A3" w:rsidRDefault="008B7CC0" w:rsidP="003E07A3">
      <w:pPr>
        <w:shd w:val="clear" w:color="auto" w:fill="FFFFFF"/>
        <w:spacing w:line="240" w:lineRule="atLeast"/>
        <w:rPr>
          <w:rFonts w:asciiTheme="majorHAnsi" w:eastAsia="Times New Roman" w:hAnsiTheme="majorHAnsi" w:cs="Arial"/>
          <w:iCs/>
          <w:color w:val="444444"/>
        </w:rPr>
      </w:pPr>
      <w:r w:rsidRPr="003E07A3">
        <w:rPr>
          <w:rStyle w:val="Rimandonotaapidipagina"/>
          <w:rFonts w:asciiTheme="majorHAnsi" w:hAnsiTheme="majorHAnsi"/>
        </w:rPr>
        <w:footnoteRef/>
      </w:r>
      <w:r w:rsidRPr="003E07A3">
        <w:rPr>
          <w:rFonts w:asciiTheme="majorHAnsi" w:eastAsia="Times New Roman" w:hAnsiTheme="majorHAnsi" w:cs="Arial"/>
          <w:iCs/>
          <w:color w:val="444444"/>
        </w:rPr>
        <w:t> </w:t>
      </w:r>
      <w:hyperlink r:id="rId1" w:history="1">
        <w:r w:rsidRPr="003E07A3">
          <w:rPr>
            <w:rFonts w:asciiTheme="majorHAnsi" w:eastAsia="Times New Roman" w:hAnsiTheme="majorHAnsi" w:cs="Arial"/>
            <w:bCs/>
            <w:iCs/>
            <w:color w:val="222222"/>
          </w:rPr>
          <w:t>F. R. Pizzuti</w:t>
        </w:r>
      </w:hyperlink>
      <w:r w:rsidRPr="003E07A3">
        <w:rPr>
          <w:rFonts w:asciiTheme="majorHAnsi" w:eastAsia="Times New Roman" w:hAnsiTheme="majorHAnsi" w:cs="Arial"/>
          <w:iCs/>
          <w:color w:val="444444"/>
        </w:rPr>
        <w:t> “</w:t>
      </w:r>
      <w:r w:rsidRPr="003E07A3">
        <w:rPr>
          <w:rFonts w:asciiTheme="majorHAnsi" w:eastAsia="Times New Roman" w:hAnsiTheme="majorHAnsi" w:cs="Arial"/>
          <w:color w:val="222222"/>
          <w:spacing w:val="-5"/>
        </w:rPr>
        <w:t>Pensioni: una bomba sociale pronta a esplodere”</w:t>
      </w:r>
      <w:r w:rsidRPr="003E07A3">
        <w:rPr>
          <w:rFonts w:asciiTheme="majorHAnsi" w:eastAsia="Times New Roman" w:hAnsiTheme="majorHAnsi" w:cs="Arial"/>
          <w:iCs/>
          <w:color w:val="444444"/>
        </w:rPr>
        <w:t>, Gennaio 2018</w:t>
      </w:r>
    </w:p>
    <w:p w14:paraId="70286658" w14:textId="77777777" w:rsidR="008B7CC0" w:rsidRPr="003E07A3" w:rsidRDefault="008B7CC0" w:rsidP="003E07A3">
      <w:pPr>
        <w:shd w:val="clear" w:color="auto" w:fill="FFFFFF"/>
        <w:spacing w:line="240" w:lineRule="atLeast"/>
        <w:rPr>
          <w:rFonts w:asciiTheme="majorHAnsi" w:eastAsia="Times New Roman" w:hAnsiTheme="majorHAnsi" w:cs="Arial"/>
          <w:iCs/>
          <w:color w:val="444444"/>
          <w:sz w:val="22"/>
          <w:szCs w:val="22"/>
        </w:rPr>
      </w:pPr>
      <w:r w:rsidRPr="003E07A3">
        <w:rPr>
          <w:rFonts w:asciiTheme="majorHAnsi" w:eastAsia="Times New Roman" w:hAnsiTheme="majorHAnsi" w:cs="Arial"/>
          <w:iCs/>
          <w:color w:val="444444"/>
          <w:sz w:val="22"/>
          <w:szCs w:val="22"/>
        </w:rPr>
        <w:t> </w:t>
      </w:r>
    </w:p>
    <w:p w14:paraId="58EB419E" w14:textId="77777777" w:rsidR="008B7CC0" w:rsidRDefault="008B7CC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25BDD"/>
    <w:multiLevelType w:val="multilevel"/>
    <w:tmpl w:val="EF985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6D"/>
    <w:rsid w:val="0001523E"/>
    <w:rsid w:val="000461C0"/>
    <w:rsid w:val="00094315"/>
    <w:rsid w:val="000A351E"/>
    <w:rsid w:val="00140D97"/>
    <w:rsid w:val="001676D2"/>
    <w:rsid w:val="001E36C2"/>
    <w:rsid w:val="00200CD7"/>
    <w:rsid w:val="002A3527"/>
    <w:rsid w:val="002B0F1B"/>
    <w:rsid w:val="0031235B"/>
    <w:rsid w:val="00315E4B"/>
    <w:rsid w:val="003E07A3"/>
    <w:rsid w:val="004008B3"/>
    <w:rsid w:val="004C076D"/>
    <w:rsid w:val="004C5750"/>
    <w:rsid w:val="005137CB"/>
    <w:rsid w:val="00617672"/>
    <w:rsid w:val="00643470"/>
    <w:rsid w:val="006A0D2B"/>
    <w:rsid w:val="00707F81"/>
    <w:rsid w:val="00761A96"/>
    <w:rsid w:val="00796511"/>
    <w:rsid w:val="00810FFD"/>
    <w:rsid w:val="008B7CC0"/>
    <w:rsid w:val="009B7A88"/>
    <w:rsid w:val="009C42AF"/>
    <w:rsid w:val="00A16D77"/>
    <w:rsid w:val="00A35C12"/>
    <w:rsid w:val="00A37F80"/>
    <w:rsid w:val="00A80774"/>
    <w:rsid w:val="00AC760F"/>
    <w:rsid w:val="00B261DA"/>
    <w:rsid w:val="00B56E62"/>
    <w:rsid w:val="00B86915"/>
    <w:rsid w:val="00BC247A"/>
    <w:rsid w:val="00BD5417"/>
    <w:rsid w:val="00C0404C"/>
    <w:rsid w:val="00C1515D"/>
    <w:rsid w:val="00C34D8F"/>
    <w:rsid w:val="00C408DE"/>
    <w:rsid w:val="00CB5C89"/>
    <w:rsid w:val="00CC03E6"/>
    <w:rsid w:val="00CF556D"/>
    <w:rsid w:val="00D54296"/>
    <w:rsid w:val="00D81812"/>
    <w:rsid w:val="00D82904"/>
    <w:rsid w:val="00DE1059"/>
    <w:rsid w:val="00E86ABF"/>
    <w:rsid w:val="00E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8A5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56D"/>
  </w:style>
  <w:style w:type="paragraph" w:styleId="Titolo1">
    <w:name w:val="heading 1"/>
    <w:basedOn w:val="Normale"/>
    <w:link w:val="Titolo1Carattere"/>
    <w:uiPriority w:val="9"/>
    <w:qFormat/>
    <w:rsid w:val="003E07A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1515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C1515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408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408DE"/>
  </w:style>
  <w:style w:type="paragraph" w:styleId="Pidipagina">
    <w:name w:val="footer"/>
    <w:basedOn w:val="Normale"/>
    <w:link w:val="PidipaginaCarattere"/>
    <w:uiPriority w:val="99"/>
    <w:unhideWhenUsed/>
    <w:rsid w:val="00C408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408DE"/>
  </w:style>
  <w:style w:type="paragraph" w:styleId="Testonotaapidipagina">
    <w:name w:val="footnote text"/>
    <w:basedOn w:val="Normale"/>
    <w:link w:val="TestonotaapidipaginaCarattere"/>
    <w:uiPriority w:val="99"/>
    <w:unhideWhenUsed/>
    <w:rsid w:val="00BD5417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BD5417"/>
  </w:style>
  <w:style w:type="character" w:styleId="Rimandonotaapidipagina">
    <w:name w:val="footnote reference"/>
    <w:basedOn w:val="Caratterepredefinitoparagrafo"/>
    <w:uiPriority w:val="99"/>
    <w:unhideWhenUsed/>
    <w:rsid w:val="00BD5417"/>
    <w:rPr>
      <w:vertAlign w:val="superscrip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E07A3"/>
    <w:rPr>
      <w:rFonts w:ascii="Times" w:hAnsi="Times"/>
      <w:b/>
      <w:bCs/>
      <w:kern w:val="36"/>
      <w:sz w:val="48"/>
      <w:szCs w:val="48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3E07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56D"/>
  </w:style>
  <w:style w:type="paragraph" w:styleId="Titolo1">
    <w:name w:val="heading 1"/>
    <w:basedOn w:val="Normale"/>
    <w:link w:val="Titolo1Carattere"/>
    <w:uiPriority w:val="9"/>
    <w:qFormat/>
    <w:rsid w:val="003E07A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1515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C1515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408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408DE"/>
  </w:style>
  <w:style w:type="paragraph" w:styleId="Pidipagina">
    <w:name w:val="footer"/>
    <w:basedOn w:val="Normale"/>
    <w:link w:val="PidipaginaCarattere"/>
    <w:uiPriority w:val="99"/>
    <w:unhideWhenUsed/>
    <w:rsid w:val="00C408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408DE"/>
  </w:style>
  <w:style w:type="paragraph" w:styleId="Testonotaapidipagina">
    <w:name w:val="footnote text"/>
    <w:basedOn w:val="Normale"/>
    <w:link w:val="TestonotaapidipaginaCarattere"/>
    <w:uiPriority w:val="99"/>
    <w:unhideWhenUsed/>
    <w:rsid w:val="00BD5417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BD5417"/>
  </w:style>
  <w:style w:type="character" w:styleId="Rimandonotaapidipagina">
    <w:name w:val="footnote reference"/>
    <w:basedOn w:val="Caratterepredefinitoparagrafo"/>
    <w:uiPriority w:val="99"/>
    <w:unhideWhenUsed/>
    <w:rsid w:val="00BD5417"/>
    <w:rPr>
      <w:vertAlign w:val="superscrip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E07A3"/>
    <w:rPr>
      <w:rFonts w:ascii="Times" w:hAnsi="Times"/>
      <w:b/>
      <w:bCs/>
      <w:kern w:val="36"/>
      <w:sz w:val="48"/>
      <w:szCs w:val="48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3E0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798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028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onomiaepolitica.it/?p=825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1561</Words>
  <Characters>8898</Characters>
  <Application>Microsoft Macintosh Word</Application>
  <DocSecurity>0</DocSecurity>
  <Lines>74</Lines>
  <Paragraphs>20</Paragraphs>
  <ScaleCrop>false</ScaleCrop>
  <Company/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2</cp:revision>
  <dcterms:created xsi:type="dcterms:W3CDTF">2019-01-11T18:42:00Z</dcterms:created>
  <dcterms:modified xsi:type="dcterms:W3CDTF">2019-01-11T18:42:00Z</dcterms:modified>
</cp:coreProperties>
</file>